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PE22.013102 vom 25. März 2024</w:t>
      </w:r>
    </w:p>
    <w:p>
      <w:r>
        <w:t>VD Tribunal cantonal, 2024-03-25, FR</w:t>
      </w:r>
    </w:p>
    <w:p>
      <w:r>
        <w:rPr>
          <w:b/>
        </w:rPr>
        <w:t xml:space="preserve">Quelle: </w:t>
      </w:r>
      <w:r>
        <w:t>https://mcp.opencaselaw.ch/entscheid/vd_gerichte_PE22.013102</w:t>
      </w:r>
    </w:p>
    <w:p>
      <w:r>
        <w:t>FR: VD_GERICHTE PE22.013102 du 25 mars 2024</w:t>
      </w:r>
    </w:p>
    <w:p>
      <w:r>
        <w:t>IT: VD_GERICHTE PE22.013102 del 25 marzo 2024</w:t>
      </w:r>
    </w:p>
    <w:p>
      <w:pPr>
        <w:pStyle w:val="Heading2"/>
      </w:pPr>
      <w:r>
        <w:t>Erwägungen</w:t>
      </w:r>
    </w:p>
    <w:p>
      <w:r>
        <w:rPr>
          <w:b/>
        </w:rPr>
        <w:t>E. 24</w:t>
      </w:r>
    </w:p>
    <w:p>
      <w:r>
        <w:t>mois fixée par les premiers juges est adéquate et peut être confirmée. Les conditions du sursis ne sont pas réalisées, le pronostic étant clairement défavorable au vu des nombreux antécédents de l’appelant et de la récidive spéciale intervenue trois mois seulement après sa dernière libération conditionnelle. Les éléments qui précèdent imposent également de révoquer la libération conditionnelle accordée le 11 février 2021 par le Juge d’application, étant relevé que l’appelant avait déjà bénéficié d’une libération conditionnelle en 2012, sans avoir toutefois saisi sa chance dès lors qu’il a ensuite récidivé à plusieurs reprise. Le solde de peine de 15 mois et 11 jours viendra donc s’ajouter à la peine privative de 24 mois fixée ci-dessus. En définitive, la peine privative de liberté d’ensemble de 39 mois prononcée par le Tribunal correctionnel ne prête pas le flanc à la critique et peut être confirmée.</w:t>
      </w:r>
    </w:p>
    <w:p>
      <w:r>
        <w:t>- 22 - 5. L’appelant fait valoir qu’il y aurait lieu de réduire le montant de 75'400 fr. alloué à M.________ au chiffre VI du dispositif du jugement entrepris, afin de tenir compte des remboursements effectués depuis lors. En l’occurrence, il n’y a pas lieu de modifier le montant alloué au plaignant en première instance, l’appelant ne prétendant pas que les premiers juges l’auraient fixé de manière erronée. Les remboursements opérés, dont il peut être pris acte, viennent simplement en déduction de la dette initialement reconnue. 6. En définitive, l’appel doit être rejeté et le jugement entrepris confirmé. Me Jérôme Campart, défenseur d’office de A.________, a produit une liste d’opérations dans laquelle il indique une activité d’avocat de 19h07, hors temps d’audience, dont 11h20 consacrées à la rédaction de l’appel, ce qui est excessif compte tenu de la nature et de la complexité de la cause, ainsi que de la connaissance du dossier acquise en première instance. Le temps nécessaire à cette opération sera arrêté à 6h00. Il sera encore ajouté 1h30 pour tenir compte de la durée des débats et 30 minutes pour les opérations post-jugement, comme indiquées en première page du relevé d’activité produit. L’indemnité due sera dès lors fixée à 2'901 fr. (16h07 x 180 fr.), plus des débours forfaitaires, par 58 fr., une vacation à 120 fr. et la TVA à 8,1 %, par 249 fr. 40, soit à un total de 3'328 fr. 40. Vu l’issue de la cause, les frais de la procédure d’appel, par 5'458 fr. 40, constitués de l’émolument de jugement et d’audience, par 2’130 fr. (art. 21 al. 1 et 2 TFIP [tarif des frais de procédure et indemnités en matière pénale du 28 septembre 2010 ; BLV 312.03.1]), et de l’indemnité de défenseur d’office, par 3'328 fr. 40, seront mis à la charge de A.________.</w:t>
      </w:r>
    </w:p>
    <w:p>
      <w:r>
        <w:t>- 23 - A.________ sera tenu de rembourser à l’Etat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