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PE22.013004 vom 4. August 2022</w:t>
      </w:r>
    </w:p>
    <w:p>
      <w:r>
        <w:t>VD Tribunal cantonal, 2022-08-04, FR</w:t>
      </w:r>
    </w:p>
    <w:p>
      <w:r>
        <w:rPr>
          <w:b/>
        </w:rPr>
        <w:t xml:space="preserve">Quelle: </w:t>
      </w:r>
      <w:r>
        <w:t>https://mcp.opencaselaw.ch/entscheid/vd_gerichte_PE22.013004</w:t>
      </w:r>
    </w:p>
    <w:p>
      <w:r>
        <w:t>FR: VD_GERICHTE PE22.013004 du 4 août 2022</w:t>
      </w:r>
    </w:p>
    <w:p>
      <w:r>
        <w:t>IT: VD_GERICHTE PE22.013004 del 4 agosto 2022</w:t>
      </w:r>
    </w:p>
    <w:p>
      <w:pPr>
        <w:pStyle w:val="Heading2"/>
      </w:pPr>
      <w:r>
        <w:t>Erwägungen</w:t>
      </w:r>
    </w:p>
    <w:p>
      <w:r>
        <w:rPr>
          <w:b/>
        </w:rPr>
        <w:t>E. 18</w:t>
      </w:r>
    </w:p>
    <w:p>
      <w:r>
        <w:t>décembre 2014 par Z.________ contre [...] et a statué sur le partage de 351</w:t>
      </w:r>
    </w:p>
    <w:p>
      <w:r>
        <w:t>- 2 - la masse successorale de feue [...], décédée en France le […] 2011, en ce qu’elle concernait ses biens immobiliers sis en Suisse. Ce jugement a été confirmé par arrêt de la Cour d’appel civile du</w:t>
      </w:r>
    </w:p>
    <w:p>
      <w:r>
        <w:rPr>
          <w:b/>
        </w:rPr>
        <w:t>E. 22</w:t>
      </w:r>
    </w:p>
    <w:p>
      <w:r>
        <w:t>septembre et 5 octobre 2022 sont irrecevables, dès lors qu’elles l’ont été hors du délai de recours. De toute manière, leur contenu est pratiquement similaire à l’acte de recours du 7 juillet 2022, déposé en temps utile. 2. Dans son acte de recours, Z.________ déclare recourir contre le courrier envoyé par le Ministère public de l’arrondissement de l’Est vaudois le 27 juin 2022. Il s’en prend à la procureure – et plus globalement à divers membres des autorités judiciaires ou politiques –, qu’il accuse de</w:t>
      </w:r>
    </w:p>
    <w:p>
      <w:r>
        <w:t>- 4 - partialité, de déni de justice et d’avoir délibérément choisi de soutenir les « manœuvres crapuleuses » du « trio d’escrocs [...] », qu’il surnomme « […] ». Il leur reproche également d’avoir commis à son encontre un « délit d’entrave à la liberté du travail » et d’avoir atteint à sa vie privée, en le privant de locaux où il souhaitait s’établir professionnellement. Il s’en prend aux membres de sa famille, soit [...], auxquels il reproche de l’avoir escroqué dans le cadre de l’affaire civile les ayant divisés au sujet du partage des biens immobiliers de la succession de [...]. Il s’en prend enfin à toutes les personnes étant intervenues dans le cadre de cette affaire, dont plus particulièrement la Présidente du Tribunal civil de l’arrondissement de l’Est vaudois, auxquelles il reproche un manque de sérieux, d’impartialité et de discernement, de couvrir les délits et les dénis de justice commis par la justice suisse depuis mars 2011, en protégeant les précités. Il soutient encore que le jugement du 3 juillet 2019 serait entaché d’oublis, de délits, de dénis de justice, de fautes lourdes, de manquements, de fautes graves, de vices de forme, de manœuvres dilatoires et crapuleuses, de mensonges et d’erreurs de jugement. 2.1 2.1.1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[ci-après : CR-CPP],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2.1.2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w:t>
      </w:r>
    </w:p>
    <w:p>
      <w:r>
        <w:t>- 5 -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in : Niggli/Heer/Wiprächtiger [éd.], Basler Kommentar, Schweizerische Strafprozessordnung, 2e éd., Bâle 2014 [ci-après : Basler Kommentar], n. 1a ad art. 385 CPP ; CREP 2 mai 2022/302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(TF 1B_318/2021 du 25 janvier 2022)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Donatsch/Lieber/ Summers/Wohlers [éd.], Zürcher Kommentar, Kommentar zur Schweizerischen Strafprozessordnung, 3e éd. 2020, n. 14 ad art. 396 StPO et les références citées ; Calame, in : CR CPP, op. cit.,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Cette</w:t>
      </w:r>
    </w:p>
    <w:p>
      <w:r>
        <w:t>- 6 -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2.1.3 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est manifestement outrancier et inconvenant (TF 1B_387/2013 du 1er novembre 2013 ; CREP 24 février 2020/136 et les réf. citées). 2.2 En l’espèce, dans ses écritures prolixes et largement incompréhensibles, le recourant se répand en reproches et en invectives diverses et variées contre toutes sortes de personnes, en particulier des membres de sa famille, la procureure et la juge en charge du litige civil successoral qui l’a opposé à ses cohéritiers. On relèvera d’emblée que les termes utilisés dans ses écritures – que ce soit les plaintes ou le recours – sont inconvenants au sens de l’art. 110 al. 4 CPP. Il a toutefois été renoncé à faire application de cette disposition et à impartir au recourant un délai pour corriger son acte, dès lors que le recours doit de toute manière être déclaré irrecevable pour d’autres motifs.</w:t>
      </w:r>
    </w:p>
    <w:p>
      <w:r>
        <w:t>- 7 - Le recourant se contente de soulever des griefs peu compréhensibles, en vrac, sans aucune structure, et ne prend pas de conclusion qui tendrait à la modification ou à l’annulation de l’ordonnance attaquée, si ce n’est implicitement. Surtout, il ne développe aucun moyen concret et spécifique contre la motivation de cette décision, n’invoque pas que les conditions de l’art. 310 al. 1 CPP ne seraient pas réunies, ni n’expose de motif qui remettrait en cause le raisonnement de la procureure consistant à dire que le contenu de ses plaintes ne comporte aucun indice de la commission d’une infraction pénale. Il s’agit bien plutôt d’une succession de commentaires et de considérations répétées au sujet de l’affaire civile dont il estime avoir été lésé et victime. Ainsi, l’acte du recourant ne répond manifestement pas aux exigences de motivation de l’art. 385 al. 1 CPP, de sorte qu’il doit être déclaré irrecevable, sans qu’un délai supplémentaire doive être imparti. Cela étant, le recourant n’expose pas le moindre motif factuel ou juridique permettant de se convaincre que les personnes qu’il incrimine auraient commis une quelconque infraction à son encontre. Comme l’a relevé, certes très brièvement, la procureure, aucun élément ni soupçon de la commission de l’infraction d’escroquerie ou d’une quelconque autre infraction, notamment dans le cadre du traitement du procès civil auquel le recourant était partie, n’est rendu suffisamment vraisemblable, ni étayé. L’intéressé se contente de reproches vagues et généraux dirigés contre un ensemble de personnes intervenues de près ou de loin dans cette affaire, sans expliquer ni étayer de façon suffisante par quels comportements (caractérisés, précis, circonscrits et datés – cf. CREP 19 octobre 2020/778 consid. 2.2) ces personnes auraient commis une quelconque infraction pénale. Manifestement, le recourant perd de vue que le fait que des magistrats, dans le cadre de leurs attributions, rendent des décisions lui donnant tort ou ne lui convenant pas, ne constitue pas une infraction pénale (CREP 18 juillet 2022/417 consid. 2.3). Or, en l’occurrence, à la lecture des nombreuses plaintes et du recours, il apparaît que le recourant s’en prend principalement, pour ne pas dire exclusivement, à la suite qui a été donnée à son affaire civile en partage</w:t>
      </w:r>
    </w:p>
    <w:p>
      <w:r>
        <w:t>- 8 - successoral, qu’il lui était loisible de contester par les voies de droit existantes en droit civil. A supposer recevable, le recours devrait donc être rejeté. 3. Il s’ensuit que le recours doit être déclaré irrecevable, sans échange d’écritures (cf. art. 390 al. 2 CPP), et la cause rayée du rôle. Les frais de la procédure de recours, constitués en l’espèce du seul émolument d’arrêt (cf. art. 422 al. 1 CPP), par 770 fr. (art. 20 al. 1 TFIP [Tarif des frais de procédure et indemnités en matière pénale du 28 septembre 2010 ; BLV 312.03.1]), seront mis à la charge du recourant, qui doit être considéré comme ayant succombé (art. 428 al. 1, 2e phrase, CPP). Par ces motifs, la Chambre des recours pénale prononce : I. Le recours est irrecevable. II. Les frais d’arrêt, par 770 fr. (sept cent septante francs), sont mis à la charge de Z.________. III. L’arrêt est exécutoire. La présidente : Le greffier :</w:t>
      </w:r>
    </w:p>
    <w:p>
      <w:r>
        <w:t>- 9 - Du Le présent arrêt, dont la rédaction a été approuvée à huis clos, est notifié, par l'envoi d'une copie complète, à : - M. Z.________, - Ministère public central, et communiqué à : - Mme la Première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