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PE22.012431 vom 15. Januar 2024</w:t>
      </w:r>
    </w:p>
    <w:p>
      <w:r>
        <w:t>VD Tribunal cantonal, 2024-01-15, FR</w:t>
      </w:r>
    </w:p>
    <w:p>
      <w:r>
        <w:rPr>
          <w:b/>
        </w:rPr>
        <w:t xml:space="preserve">Quelle: </w:t>
      </w:r>
      <w:r>
        <w:t>https://mcp.opencaselaw.ch/entscheid/vd_gerichte_PE22.012431</w:t>
      </w:r>
    </w:p>
    <w:p>
      <w:r>
        <w:t>FR: VD_GERICHTE PE22.012431 du 15 janvier 2024</w:t>
      </w:r>
    </w:p>
    <w:p>
      <w:r>
        <w:t>IT: VD_GERICHTE PE22.012431 del 15 gennaio 2024</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(Guidon, in : Niggli/Heer/Wiprächtiger [éd.], Basler Kommentar, Schweizerische Strafprozessordnung, Jugendstrafprozessordnung, 3e éd., 2023,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w:t>
      </w:r>
    </w:p>
    <w:p>
      <w:r>
        <w:t>- 7 - procédure pénale suisse ; BLV 312.01] ; art. 80 LOJV [loi vaudoise du 12 décembre 1979 d’organisation judiciaire ; BLV 173.01]).</w:t>
      </w:r>
    </w:p>
    <w:p>
      <w:r>
        <w:rPr>
          <w:b/>
        </w:rPr>
        <w:t>E. 1.2</w:t>
      </w:r>
    </w:p>
    <w:p>
      <w:r>
        <w:t>En l’espèce, interjeté dans le délai légal auprès de l’autorité compétente par une partie qui a qualité pour recourir (cf. art. 382 al. 1 CPP) et satisfaisant aux conditions de forme posées par l’art. 385 al. 1 CPP, le recours d’X.________ est recevable.</w:t>
      </w:r>
    </w:p>
    <w:p>
      <w:r>
        <w:rPr>
          <w:b/>
        </w:rPr>
        <w:t>E. 2.1</w:t>
      </w:r>
    </w:p>
    <w:p>
      <w:r>
        <w:t>Le recourant se plaint d’une violation du principe de l’unité de la procédure. Il fait valoir que les mesures d’instruction requises par B.________ sont essentielles pour lui tant en sa qualité de prévenu que de plaignant ; la disjonction des procédures impliquerait que ces mesures d’instruction devraient être effectuées dans deux procédures distinctes, ce qui irait à l’encontre du principe d’économie de procédure. En outre, il souligne le risque que puisque F.________ et lui étaient tous deux tant prévenus que plaignants dans la procédure initiale, chacun doive être entendu dans la procédure de l’autre en qualité de personne appelée à donner des renseignements. Contrairement à la motivation figurant dans l’ordonnance querellée, une disjonction compliquerait selon lui la procédure plus qu’elle ne la simplifierait. Par ailleurs, il allègue que son rôle et celui de F.________ seraient indissociables, puisqu’ils sont soupçonnés d’avoir participé au même trafic de stupéfiants. Au demeurant, il soutient que la disjonction ordonnée pourrait conduire à des jugements contradictoires.</w:t>
      </w:r>
    </w:p>
    <w:p>
      <w:r>
        <w:rPr>
          <w:b/>
        </w:rPr>
        <w:t>E. 2.2</w:t>
      </w:r>
    </w:p>
    <w:p>
      <w:r>
        <w:t>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w:t>
      </w:r>
    </w:p>
    <w:p>
      <w:r>
        <w:t>- 8 - également de satisfaire au principe de l’égalité de traitement visé à l’art. 8 Cst. Par ailleurs, il sert l’économie de la procédure (ATF 138 IV 29 consid. 3.2, JdT 2012 IV 185 et les réf. cit.). Une disjonction des procédures doit dès lors être fondée sur des motifs concrets et objectifs et doit rester l’exception, conformément à l’art. 30 CPP (ATF 144 IV 97 consid. 3.3). Elle doit avant tout servir à garantir la rapidité de la procédure, respectivement à éviter un retard inutile (ATF 138 IV 214 consid. 3.2 et les réf. cit. ; TF 1B_580/2021 du 10 mars 2022 consid. 2.1 et les réf. cit.).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(TF 1B_684/2011 du 21 décembre 2011 consid. 3.2 et la doctrine citée).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1B_428/2018 du 7 novembre 2018 consid. 3.2 ; TF 1B_684/2011 précité consid. 3.2 et 3.3). La disjonction peut également tendre à ne pas prolonger une détention provisoire déjà longue, aux fins d’instruire des délits nouveaux de moindre importance. En revanche, de simples motifs de commodité ne sauraient justifier une disjonction (Bouverat, in : Jeanneret et al. [éd.], Commentaire romand, Code de procédure pénale suisse, 2e éd., 2019, n. 2 ad art. 30 CPP). En tout état de cause, la disjonction de procédure doit être ordonnée de manière restrictive.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w:t>
      </w:r>
    </w:p>
    <w:p>
      <w:r>
        <w:t>- 9 - Le Tribunal fédéral a considéré qu’en cas de disjonction de causes relatives à plusieurs prévenus, la personne concernée subit en principe un dommage juridique constitutif d’un préjudice irréparable (ATF 147 IV 188 consid. 1.3.4, JdT 2022 IV 10 ; TF 1B_58/2022 du 30 juin 2022 consid. 1.3.1 ; TF 1B_506/2020 du</w:t>
      </w:r>
    </w:p>
    <w:p>
      <w:r>
        <w:rPr>
          <w:b/>
        </w:rPr>
        <w:t>E. 2.3</w:t>
      </w:r>
    </w:p>
    <w:p>
      <w:r>
        <w:t>En l’espèce, le Ministère public a expliqué avoir ordonné la disjonction pour le motif que le coprévenu F.________ était en incapacité, pour une durée indéterminée, de comparaître. Il avait fait défaut, sans s’être valablement excusé, à son audition appointée le 23 janvier 2023. La Procureure a souligné qu’il n’avait pas de domicile en Suisse et qu’il apparaissait qu’il était parti à l’étranger sans laisser d’adresse précise. La disjonction de la cause en ce qui concerne ce coprévenu se justifiait afin de respecter le principe de célérité et de ne pas prétériter l’avancement de l’enquête pour B.________ et X.________. Au demeurant, l’instruction apparaissait suffisamment complète pour le volet de l’affaire concernant ces derniers.</w:t>
      </w:r>
    </w:p>
    <w:p>
      <w:r>
        <w:t>- 10 - Il est constaté que le 2 octobre 2023, le Ministère public a signalé F.________ auprès du système de recherches informatisées de police RIPOL. Il est également relevé que F.________, de nationalités chilienne et suédoise, était habitué à la clandestinité, puisqu’il a vécu en Suisse illégalement depuis son arrivée, début juillet 2021. Vu ces circonstances, il peut être présumé que ce coprévenu ne pourra que difficilement être localisé et on ne saurait exiger du Ministère public qu’il procède à des investigations approfondies pour le retrouver. Sur le principe, une disjonction paraît dès lors envisageable. S’agissant de l’état d’avancement de la procédure, la Procureure a exposé que de nombreuses mesures d’instruction avaient été effectuées et que toutes les parties avaient été entendues – F.________ ayant eu l’occasion de s’exprimer sur les faits reprochés au recourant et à B.________ –, de même que de nombreux témoins voisins des époux. Certes, le Ministère public doit encore se prononcer sur différentes mesures d’instruction requises par B.________ le 17 février 2023. A cet égard, il est constaté que les auditions des voisins, requises tant par le recourant que par B.________, ont été effectuées entre le 13 et le 22 juin 2023. Pour le surplus, le recourant ne met pas clairement en avant les éléments liés à l’absence de F.________ qui empêcheraient de mener à terme la procédure ouverte à son encontre. En outre, puisque le recourant a déposé plainte contre F.________, il est partie, en qualité de plaignant, à la procédure disjointe ; ses droits procéduraux sont ainsi préservés dans la procédure concernant son ancien coprévenu. Enfin, il sera loisible au recourant de requérir la production des éventuels jugements rendus dans la présente procédure au dossier de la cause disjointe. Le risque de jugements contradictoires s’en trouvera très réduit. Par conséquent, la disjonction des enquêtes pénales est justifiée. Mal fondé, le grief doit être rejeté. A titre superfétatoire on relèvera que les faits reprochés au recourant dans le cadre de la procédure PE19.022016, qui, selon la lettre de la Procureure du 19 juin 2023 sont liés à ceux de la présente</w:t>
      </w:r>
    </w:p>
    <w:p>
      <w:r>
        <w:t>- 11 - procédure, ont débuté en 2013. Or, l’infraction grave à la LStup se prescrit par dix ans (art. 19 al. 1 et 2 LStup en lien avec l’art. 97 al. 1 let. c CP). 3. En définitive, le recours doit être rejeté et l’ordonnance querellée confirmée. Les frais de la procédure de recours, constitués en l’espèce de l’émolument d’arrêt, par 1’210 fr. (art. 20 al. 1 TFIP [tarif des frais de procédure et indemnités en matière pénale du 28 septembre 2010 ; BLV 312.03.1]), et de l’indemnité due au défenseur d’office du recourant (art. 422 al. 1 et 2 let. a CPP), seront mis à la charge de ce dernier, qui succombe (art. 428 al. 1 CPP). L’indemnité allouée au défenseur d’office du recourant, Me Youri Widmer, sera fixée à 810 fr., correspondant à 4 heures et 30 minutes d’activité nécessaire d’avocat pour la procédure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16 fr. 20, et la TVA au taux de 7.7 %, s’agissant uniquement d’opérations effectuées avant le 1er janvier 2024 (art. 25 al. 1 LTVA [loi fédérale du 12 juin 2009 régissant la taxe sur la valeur ajoutée ; RS 641.20]), par 63 fr. 65, le tout arrondi au franc supérieur, soit à 890 fr. au total. Le remboursement à l’Etat de l’indemnité allouée au défenseur d’office sera exigible du recourant dès que sa situation financière le permettra (art. 135 al. 4 CPP).</w:t>
      </w:r>
    </w:p>
    <w:p>
      <w:r>
        <w:t>- 12 - Par ces motifs, la Chambre des recours pénale prononce : I. Le recours est rejeté. II. L’ordonnance du 19 septembre 2023 est confirmée. III. L’indemnité allouée à Me Youri Widmer, défenseur d’office d’X.________, est fixée à 890 fr. (huit cent nonante francs). IV. Les frais d’arrêt, par 1’210 fr. (mille deux cent dix francs), ainsi que l’indemnité allouée à Me Youri Widmer, par 890 fr. (huit cent nonante francs), sont mis à la charge d’X.________. V. X.________ sera tenu de rembourser à l’Etat l’indemnité allouée sous chiffre III ci-dessus dès que sa situation financière le permettra. VI. L’arrêt est exécutoire. La Juge présidant : La greffière : Du Le présent arrêt, dont la rédaction a été approuvée à huis clos, est notifié, par l'envoi d'une copie complète, à : - Me Youri Widmer, avocat (pour X.________), - Me Benjamin Schwab, avocat (pour B.________), - Me Safaâ Fiorini Viana, avocate (pour F.________), - Ministère public central, et communiqué à : - Mme la Procureure cantonale Strada,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octobre 2020). En effet, elle perd ses droits procéduraux dans la procédure relative aux autres prévenus, n’ayant notamment plus le droit de participer aux auditions de ces derniers et à l’administration des autres preuves au cours de la procédure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 1 CEDH (Convention de sauvegarde des droits de l’homme et des libertés fondamentales du 4 novembre 1950 ; RS 0.101), de la conduite de procédures séparées ou de la disjonction de causes en cas d’infractions commises par plusieurs auteurs ou participants, eu égard au risque de voir l’un des intéressés rejeter la faute sur les autres (ATF 134 IV 328 consid. 3.3 ; ATF 116 Ia 305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