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PE22.012417 vom 22. August 2022</w:t>
      </w:r>
    </w:p>
    <w:p>
      <w:r>
        <w:t>VD Tribunal cantonal, 2022-08-22, FR</w:t>
      </w:r>
    </w:p>
    <w:p>
      <w:r>
        <w:rPr>
          <w:b/>
        </w:rPr>
        <w:t xml:space="preserve">Quelle: </w:t>
      </w:r>
      <w:r>
        <w:t>https://mcp.opencaselaw.ch/entscheid/vd_gerichte_PE22.012417</w:t>
      </w:r>
    </w:p>
    <w:p>
      <w:r>
        <w:t>FR: VD_GERICHTE PE22.012417 du 22 août 2022</w:t>
      </w:r>
    </w:p>
    <w:p>
      <w:r>
        <w:t>IT: VD_GERICHTE PE22.012417 del 22 agosto 2022</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w:t>
      </w:r>
    </w:p>
    <w:p>
      <w:r>
        <w:t>- 5 - Ministère public dans le cadre de la procédure préliminaire est ainsi susceptible de recours selon les art. 393 ss CPP (Lembo/Julen Berthod, in : Jeanneret/Kuhn/Perrier Depeursinge [éd.], Commentaire romand, Code de procédure pénale suisse, 2e éd., Bâle 2019 [cité ci-après : CR-CPP], n. 4 ad art. 267 CPP ; Moreillon/Parein-Reymond, Code de procédure pénale, Petit commentaire, 2e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BLV 173.01]).</w:t>
      </w:r>
    </w:p>
    <w:p>
      <w:r>
        <w:rPr>
          <w:b/>
        </w:rPr>
        <w:t>E. 1.2</w:t>
      </w:r>
    </w:p>
    <w:p>
      <w:r>
        <w:t>En l’espèce, interjeté en temps utile et auprès de l’autorité compétente par la prévenue, qui se prétend la légitime propriétaire de la chatte et qui a un intérêt juridique à l’annulation de l’ordonnance querellée (art. 382 al. 1 CPP ; sur les faits de double pertinence, à savoir pertinents pour la recevabilité et le fond : TF 1B_203/2021 du 19 juillet 2021 consid. 1.2), le recours est recevable.</w:t>
      </w:r>
    </w:p>
    <w:p>
      <w:r>
        <w:rPr>
          <w:b/>
        </w:rPr>
        <w:t>E. 2</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t>- 6 -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CR-CPP, n. 34 ad art. 263 CPP, avec n. infrapaginale 114). Pour satisfaire à ces exigences, il suffit que l'autorité mentionne, au moins brièvement, les motifs qui l'ont guidée et sur lesquels elle a fondé son raisonnement (ATF 142 IV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 CREP 27 mai 2021/456 consid. 2.1 ; CREP 28 juin 2019/521 consid. 2.1).</w:t>
      </w:r>
    </w:p>
    <w:p>
      <w:r>
        <w:rPr>
          <w:b/>
        </w:rPr>
        <w:t>E. 2.1</w:t>
      </w:r>
    </w:p>
    <w:p>
      <w:r>
        <w:t>; JdT 2020 III 140 consid. 2.2.2 ; Moreillon/Parein-Reymond, op. cit., n. 17 ad art. 263 CPP et les références citées).</w:t>
      </w:r>
    </w:p>
    <w:p>
      <w:r>
        <w:rPr>
          <w:b/>
        </w:rPr>
        <w:t>E. 3</w:t>
      </w:r>
    </w:p>
    <w:p>
      <w:r>
        <w:t>La recourante conteste en premier lieu le séquestre probatoire (art. 263 al. 1 let. a CPP).</w:t>
      </w:r>
    </w:p>
    <w:p>
      <w:r>
        <w:rPr>
          <w:b/>
        </w:rPr>
        <w:t>E. 3.1</w:t>
      </w:r>
    </w:p>
    <w:p>
      <w:r>
        <w:t>Dans un premier grief, la recourante soutient que la décision serait insuffisamment motivée. Tel n’est manifestement pas le cas, dès lors que l’ordonnance de séquestre doit être brièvement motivée (art. 263 al. 2 CPP) et qu’en l’espèce, la décision est bien motivée tant dans la situation de fait qu’au regard de la portée et de l’utilité du séquestre. Mal fondé, le grief doit être rejeté.</w:t>
      </w:r>
    </w:p>
    <w:p>
      <w:r>
        <w:rPr>
          <w:b/>
        </w:rPr>
        <w:t>E. 3.2</w:t>
      </w:r>
    </w:p>
    <w:p>
      <w:r>
        <w:t>La recourante fait ensuite plaider qu’il n’existerait aucun soupçon d’infraction, puisqu’elle estime avoir prouvé qu’elle était la propriétaire de l’animal.</w:t>
      </w:r>
    </w:p>
    <w:p>
      <w:r>
        <w:t>- 7 - A ce stade de l’enquête, qui n’en est qu’à ses débuts, la recourante a effectivement amené différents éléments qui font douter qu’elle se soit rendue coupable de vol. Elle a notamment produit des photos de la chatte à sa naissance ainsi qu’une attestation de L.________ de laquelle il ressort que la chatte est selon lui la propriété de la recourante. On soulignera toutefois que les déclarations de ce dernier doivent être prises avec circonspection à ce stade, dès lors qu’il semble à son tour avoir quitté la ferme et vivre à ce jour chez la recourante. Enfin, selon les déclarations d’Z.________, belle-fille du plaignant, c’est la recourante qui s’est occupée de « J.________ » tant qu’elle vivait sur le domaine et c’est cette dernière qui a pris en charge les frais relatifs à la stérilisation de la chatte. Toutefois, il subsiste également des éléments à charge comme le fait que la belle-fille a déclaré que la chatte était née à la ferme, que ce sont les [...] qui ont continué à s’en occuper, que ce sont eux qui en avaient la possession au moment où la recourante la leur a enlevée et que, finalement, l’animal est aujourd’hui pucé au nom de G.________. Ce dernier élément créé une présomption de propriété qu’à l’heure actuelle, les éléments apportés par la recourante ne permettent pas de renverser. Un vol n’est donc pas exclu à ce stade de l’enquête et il existe donc bel et bien des soupçons de la commission d’une infraction.</w:t>
      </w:r>
    </w:p>
    <w:p>
      <w:r>
        <w:rPr>
          <w:b/>
        </w:rPr>
        <w:t>E. 3.3</w:t>
      </w:r>
    </w:p>
    <w:p>
      <w:r>
        <w:t>La recourante soutient que le séquestre ordonné ne répondrait pas au principe de proportionnalité, dès lors qu’il ne serait pas apte à conduire au but visé à savoir garantir que la puce de l’animal ne soit pas changée, dès lors qu’elle ne conteste pas que l’animal ait pu être pucé par G.________ entre le moment de son départ de la ferme et le 28 avril 2022. Elle relève que si le but du séquestre est effectivement qu’aucune – nouvelle – opération de puçage ne puisse être effectuée, il conviendrait de confier l’animal à un foyer et non à l’une de parties. On peut difficilement suivre cette position, puisque, de l’aveu des parties, la chatte est aujourd’hui pucée au nom du plaignant, qu’il n’a pas d’intérêt à faire changer la puce puisqu’il est déjà mentionné comme propriétaire et que le maintien de la situation aux fins d’investigations est</w:t>
      </w:r>
    </w:p>
    <w:p>
      <w:r>
        <w:t>- 8 - plus logique dans le sens d’un séquestre auprès du plaignant que de la prévenue. S’agissant du respect du principe de proportionnalité, on rappellera que la chatte vivait au domaine [...] jusqu’à fin avril et que c’est la recourante qui est venue s’en saisir le 28 avril 2022 pour l’emmener hors de son lieu de vie habituelle, jusqu’à ce que la police la reprenne le 19 juillet 2022. Un retour dans son lieu de vie est donc en réalité proportionné à la situation.</w:t>
      </w:r>
    </w:p>
    <w:p>
      <w:r>
        <w:rPr>
          <w:b/>
        </w:rPr>
        <w:t>E. 4.1</w:t>
      </w:r>
    </w:p>
    <w:p>
      <w:r>
        <w:t>La recourante conteste ensuite le séquestre aux fins de restitution (art. 263 al. 1 let. c CPP), estimant que la décision serait insuffisamment motivée, qu’il n’existerait pas d’indice suffisant de commission d’une infraction, que le séquestre de l’animal serait disproportionné et que la propriété de l’animal serait clairement établie.</w:t>
      </w:r>
    </w:p>
    <w:p>
      <w:r>
        <w:rPr>
          <w:b/>
        </w:rPr>
        <w:t>E. 4.2</w:t>
      </w:r>
    </w:p>
    <w:p>
      <w:r>
        <w:t>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1er juillet 2015 consid.</w:t>
      </w:r>
    </w:p>
    <w:p>
      <w:r>
        <w:rPr>
          <w:b/>
        </w:rPr>
        <w:t>E. 4.3</w:t>
      </w:r>
    </w:p>
    <w:p>
      <w:r>
        <w:t>Comme déjà relevé s’agissant du séquestre probatoire, l’ordonnance du Ministère public est suffisamment motivée (cf. consid. 3.1). Au surplus, pour les motifs exposés ci-dessus, il existe à ce stade des indices suffisants de la commission d’une infraction (cf. consid. 3.2), et la proportionnalité est respectée (cf. consid. 3.3).</w:t>
      </w:r>
    </w:p>
    <w:p>
      <w:r>
        <w:t>- 9 - Quant à la propriété de l’animal, qui serait claire selon les affirmations de la recourante (possession de la recourante, attestations, stérilisation payée, photos, etc.), comme déjà dit, ces éléments s’opposent en l’état au fait que la puce dont est porteuse la chatte « J.________ » est au nom du plaignant et qu’à la date à laquelle elle s’en est saisie la recourante n’était pas en possession de la chatte, éléments tout aussi déterminants que ceux invoqués. En conséquence, le séquestre est donc bien fondé. On relèvera toutefois que, s’agissant d’un animal vivant en milieu domestique, il y a lieu de faire diligence pour entendre au plus vite le plaignant et son frère et obtenir toutes les informations utiles fournies par la puce.</w:t>
      </w:r>
    </w:p>
    <w:p>
      <w:r>
        <w:rPr>
          <w:b/>
        </w:rPr>
        <w:t>E. 5</w:t>
      </w:r>
    </w:p>
    <w:p>
      <w:r>
        <w:t>Il résulte de ce qui précède que le recours, manifestement mal fondé, doit être rejeté sans échange d’écritures (art. 390 al. 2 CPP) et l’ordonnance entreprise confirmée. Les frais de la procédure de recours, constitués en l’espèce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18 juillet 2022 est confirmée.</w:t>
      </w:r>
    </w:p>
    <w:p>
      <w:r>
        <w:t>- 10 - III. Les frais d’arrêt, par 990 fr. (neuf cent nonante francs), sont mis à la charge de la recourante X.________. IV. L’arrêt est exécutoire. La présidente : La greffière : Du Le présent arrêt, dont la rédaction a été approuvée à huis clos, est notifié, par l’envoi d’une copie complète, à : - Me Jonathan Rutschmann, avocat (pour X.________), - M. G.________,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