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PE22.012023 vom 17. Dezember 2024</w:t>
      </w:r>
    </w:p>
    <w:p>
      <w:r>
        <w:t>VD Tribunal cantonal, 2024-12-17, FR</w:t>
      </w:r>
    </w:p>
    <w:p>
      <w:r>
        <w:rPr>
          <w:b/>
        </w:rPr>
        <w:t xml:space="preserve">Quelle: </w:t>
      </w:r>
      <w:r>
        <w:t>https://mcp.opencaselaw.ch/entscheid/vd_gerichte_PE22.012023</w:t>
      </w:r>
    </w:p>
    <w:p>
      <w:r>
        <w:t>FR: VD_GERICHTE PE22.012023 du 17 décembre 2024</w:t>
      </w:r>
    </w:p>
    <w:p>
      <w:r>
        <w:t>IT: VD_GERICHTE PE22.012023 del 17 dicembre 2024</w:t>
      </w:r>
    </w:p>
    <w:p>
      <w:pPr>
        <w:pStyle w:val="Heading2"/>
      </w:pPr>
      <w:r>
        <w:t>Erwägungen</w:t>
      </w:r>
    </w:p>
    <w:p>
      <w:r>
        <w:rPr>
          <w:b/>
        </w:rPr>
        <w:t>E. 50</w:t>
      </w:r>
    </w:p>
    <w:p>
      <w:r>
        <w:t>kg selon les déclarations de ce dernier ; plus de 10 kg selon V.________), la partie plaignante l'estimait à environ 290 kg, sur la base d'une</w:t>
      </w:r>
    </w:p>
    <w:p>
      <w:r>
        <w:t>- 15 - commande de 220 kg passée en avril 2022 et d'une évaluation fondée sur l’état du stock. Une vidéo réalisée après les faits permettait d’ailleurs d’observer que les auteurs avaient dérobé une quantité importante de marchandise. Le premier juge s’est écarté, à juste titre, des déclarations des prévenus quant à la quantité de CBD volée, en se fondant sur des indices convergents qu’il a jugés suffisamment probants. En premier lieu, il a pris en compte la capacité de chargement du véhicule utilisé pour l’opération. Il faut en effet constater qu’en fonction du modèle, le coffre d’une Porsche Cayenne offre un volume compris entre 400 et 700 litres, ce qui permet raisonnablement d’y entreposer une quantité significative de marchandises, de l’ordre de celle alléguée par la partie plaignante. En outre, si un témoin a effectivement observé les prévenus en train de décharger des sacs dans un container durant environ cinq minutes (cf. PV d’audition n° 1, R. 5), cela n’exclut pas que d’autres sacs aient pu être dissimulés ailleurs ou soient restés dans le véhicule après cet arrêt. En second lieu, les pièces produites par la partie plaignante viennent appuyer leurs accusations. Il en ressort en effet qu’une commande a été passée le 17 avril 2022 par [...] SA à [...] pour un total de 220 kg de CBD Outdoor. S’il n’existe pas d’inventaire précis réalisé peu avant le vol, le représentant de la société, [...], a expliqué, lors des débats, avoir procédé à une estimation fondée sur son expérience ainsi que sur le bon de commande d’avril 2022 (cf. P. 97/3), pour parvenir à une évaluation de 290 kg de CBD présents au moment des faits (cf. jgt. p. 7). Cette estimation est confortée par une vidéo réalisée après le vol, qui permet d’observer que les auteurs se sont emparés d’une quantité notable de marchandise. L’ensemble de ces éléments donne une image cohérente et crédible des faits dénoncés. En définitive, bien qu’une légère incertitude subsiste quant à la quantité exacte de CBD dérobée, il ressort des éléments au dossier qu’elle demeure, à tout le moins, très importante, eu égard en particulier aux moyens logistiques mis en œuvre et à l’utilisation d’un véhicule de grande</w:t>
      </w:r>
    </w:p>
    <w:p>
      <w:r>
        <w:t>- 16 - capacité. Dès lors, il y a lieu de retenir les faits tels que décrits dans l’acte d’accusation, sous la réserve que la quantité exacte pourrait être légèrement inférieure au chiffre avancé de 290 kg, sans que cela n’influe toutefois sur la culpabilité de l’appelant. 5. L’appelant conteste le rôle d’instigateur que lui a imputé le premier juge. Il affirme avoir uniquement mis à disposition son véhicule en ignorant tout de l’intention exacte de ses comparses. Son implication n’aurait été qu’accessoire. Il paraît ainsi remettre en question sa qualité de coauteur des infractions commises. 5.1 Contrairement au complice, qui est un participant secondaire qui prête assistance pour commettre un crime ou un délit (ATF 144 IV 265 consid. 2.3.2 ; ATF 132 IV 49 consid. 1.1 ; TF 6B_1166/2023 du 13 juin 2024 consid. 1.2, non publié à l’ATF 150 IV 338),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149 IV 57 consid. 3.2.2 ; ATF 135 IV 152 consid. 2.3.1 ; ATF 130 IV 58 consid. 9.2.1 ; TF 6B_1166/2023 précité).</w:t>
      </w:r>
    </w:p>
    <w:p>
      <w:r>
        <w:t>- 17 - 5.2 Le premier juge a retenu que les quatre prévenus avaient tous adhéré au plan élaboré par l’appelant, lequel portait sur un vol par effraction dans les locaux de la société K.________ Sàrl, avec pour objectif l’appropriation du CBD qui s’y trouvait et son partage entre les participants. Les rôles de chacun avaient été définis en amont, et chaque prévenu constituait un maillon essentiel de cette entreprise criminelle. Le fait que certains d’entre eux, dont l’appelant, ne se soient pas rendus physiquement sur place ne remettait pas en cause leur qualité de coauteur, celle-ci ne supposant pas une participation directe à l’exécution de l’infraction (cf. jgt, p. 29). Cette appréciation ne prête pas le flanc à la critique et peut être confirmée. Durant l’enquête, l’appelant a lui-même admis avoir mis à disposition son véhicule, une Porsche Cayenne, pour permettre à ses complices de transporter le butin (PV d’audition n° 5, R. 8 ; PV d’audition n° 6, ll. 66 ss). Cette contribution logistique était décisive pour la réussite du projet, dès lors que les autres participants ne disposaient pas d’un véhicule adapté au transport d’une grande quantité de CBD. L’appelant tente de minimiser son rôle, en prétendant que son implication n’aurait été qu’accessoire. Cette version ne convainc pas. En effet, V.________ a clairement affirmé que la proposition de commettre le vol émanait de l’appelant, au cours d’une discussion à laquelle avaient également pris part J.________ et M.________. Il a précisé que c’était l’appelant qui lui avait prêté la Porsche Cayenne (PV d’audition n° 10, ll. 84 à 97) et a détaillé les rôles respectifs de chacun des protagonistes (PV d’audition n° 7, R. 15 et 16 notamment). Il a confirmé ses mises en cause devant le tribunal de première instance (cf. jgt, p. 10), en présence de J.________ et M.________, et aucun élément du dossier ne laisse penser qu’il aurait voulu accabler faussement l’un ou l’autre de ses coprévenus. Les déclarations d’V.________ doivent dès lors être considérées comme crédibles. Il faut également souligner que l’analyse des données extraites du téléphone portable d’R.________ a révélé qu’il avait tenté de revendre, peu après les faits, environ 20 kg de chanvre (P. 55, p. 7 ; PV d’audition n° 6). Ce comportement est cohérent avec la suite du plan tel qu’il avait été conçu, à savoir écouler la marchandise dérobée, à tout le moins en</w:t>
      </w:r>
    </w:p>
    <w:p>
      <w:r>
        <w:t>- 18 - partie. Le profil pénal de l’appelant, multirécidiviste déjà condamné à plusieurs reprises pour des infractions à la loi fédérale sur les stupéfiants, renforce encore la crédibilité des accusations portées contre lui. Sa stratégie actuelle de minimisation des faits ne saurait suffire à écarter les nombreux indices concordants de sa participation, en qualité de coauteur, au cambriolage des locaux de K.________ Sàrl. Son moyen doit dès lors être rejeté. 6. L’appelant, qui conclut uniquement à son acquittement, conteste toutefois, dans sa déclaration d’appel, la peine prononcée à son encontre, qu’il estime excessive. 6.1 6.1.1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t>- 19 - 6.1.2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6.2 Le premier juge a considéré que la culpabilité d’R.________ était importante. Cette appréciation peut être confirmée. Il faut en effet constater que l’appelant est à l’origine du cambriolage visant la société plaignante, où la marchandise convoitée était d’une valeur substantielle. Il a non seulement élaboré le plan mais a aussi mis à disposition son véhicule pour faciliter le transport du butin. Il a choisi de ne pas participer directement à l’exécution du vol, en envoyant d’autres individus pour commettre le cambriolage à sa place, non pas parce que sa participation n’aurait été qu’ « accessoire », comme il le prétend, mais bien pour éviter de s’impliquer directement dans l’exécution de l’acte. Ce choix révèle une volonté délibérée de rester en retrait tout en tirant profit de l’infraction. Son mobile était purement lucratif, dicté par l’appât du gain, et il a agi sans égard pour les droits d’autrui. Son comportement s’est en outre inscrit dans une trajectoire délinquante plus large, dès lors qu’il a enfreint</w:t>
      </w:r>
    </w:p>
    <w:p>
      <w:r>
        <w:t>- 20 - une interdiction d’entrée sur le territoire suisse à laquelle il était soumis, a séjourné illégalement dans le pays et a commis plusieurs infractions à la législation sur la circulation routière. Ces agissements traduisent un mépris systématique des normes juridiques. On relève également que ses antécédents judiciaires sont défavorables, avec plusieurs condamnations à son actif et une incarcération en 2019, sans que cela n’ait entraîné de prise de conscience ou de changement de comportement. A cela s’ajoute une attitude peu coopérative au cours de la procédure, puisqu’il a refusé de transmettre les codes de son téléphone et de permettre l’extraction des données (PV d’audition n° 4, R. 5 ; PV d’audition n° 5, ll. 90 à 93). Il a par ailleurs tenu des propos menaçants lors de sa détention (P. 29). Enfin, bien qu’un sauf-conduit lui ait été délivré (P. 105), il n’a pas jugé utile de se présenter aux débats de première instance, manquant ainsi à ses obligations procédurales. Aucun élément à décharge ne ressort du dossier. Les éléments qui précèdent justifient, pour des motifs évidents de prévention spéciale, une peine privative de liberté pour toutes les infractions commises. Le vol constitue la peine de base. Elle sera sanctionnée d’une peine privative de liberté de 4 mois, laquelle sera augmentée, par l’effet du concours, de 1 mois pour sanctionner les infractions de dommages à la propriété et de violation de domicile, de 3 mois pour l’entrée et le séjour illégal et enfin de 2 mois pour les conduites sans permis. En définitive, la peine privative de liberté de 10 mois prononcée par le premier juge est adéquate et peut être confirmée. Celle-ci sera ferme, seul un pronostic défavorable pouvant être émis compte tenu des nombreux antécédents de l’appelant et de son absence totale de remise en question. 7. L’appelant conteste la mesure d’expulsion, pour le motif que ses deux enfants et leur mère vivent en Suisse. 7.1 Aux termes de l'art. 66a al. 1 let. d CP, le juge expulse de Suisse l'étranger qui est notamment condamné pour vol en lien avec une</w:t>
      </w:r>
    </w:p>
    <w:p>
      <w:r>
        <w:t>- 21 - violation de domicile (let. d)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 clause de rigueur permet de garantir le principe de proportionnalité (art. 5 al. 2 Cst. [Constitution fédérale de la Confédération suisse du 18 avril 1999 ; RS 101]). Elle doit être appliquée de manière restrictive (ATF 146 IV 105 consid. 3.4.2 ; ATF 144 IV 332 consid. 3.3.1). Selon la jurisprudence (ATF 144 IV 332 consid. 3.3.2), il convient de s’inspirer des critères énoncés à l’art. 31 de l’OASA (Ordonnance relative à l’admission, au séjour et à l’exercice d’une activité lucrative du 24 octobre 2007 ; RS 142.201). L’art. 31 al. 1 OASA prévoit qu’une autorisation de séjour peut être octroyée dans les cas individuels d’extrême gravité. L’autorité doit tenir compte notamment de l’intégration du requérant selon les critères définis à l’art. 58a al. 1 de la LEI (loi fédérale sur les étrangers et l’intégration du 16 décembre 2005 ; RS 104.20),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réintégration sociale du condamné (ATF 147 IV 453 consid. 1.4.5 ; ATF 144 IV 332 consid. 3.3.2 ; TF 6B_1417/2019 du 13 mars 2020 consid. 2.1.1). 7.2 En l’espèce, l’infraction de vol en lien avec une violation de domicile pour laquelle R.________ est condamné entre dans le catalogue de celles donnant lieu à une expulsion obligatoire. Aucun élément ne justifie</w:t>
      </w:r>
    </w:p>
    <w:p>
      <w:r>
        <w:t>- 22 - l’application de la clause de rigueur. En effet, l’appelant ne dispose d’aucun statut légal en Suisse et fait l’objet d’une interdiction d’entrée sur le territoire jusqu’en 2031. Il est d’ailleurs retourné vivre en Bosnie. Certes, son épouse et ses enfants résident en Suisse, mais les contacts qu’il entretient avec eux sont sporadiques. Par ailleurs, il ne peut se prévaloir d’aucune intégration sociale, culturelle ou professionnelle significative sur le territoire. Dans ces conditions, au regard de la gravité des infractions commises et de ses antécédents, l’intérêt public à son éloignement l’emporte sur son intérêt privé à demeurer en Suisse. Au vu de sa culpabilité, la durée de l’expulsion doit être fixée à 5 ans. 8. En définitive, l’appel doit être rejeté et le jugement entrepris confirmé. Me Robert Ayrton, défenseur d’office d’R.________, a produit une liste d’opérations dans laquelle il indique une activité d’avocat de 8h54, hors temps d’audience (estimé à 1h30), ce qui est adéquat. Il sera ajouté 1h00 pour tenir compte de la durée des débats. L’indemnité due sera dès lors fixée à 1’782 fr. (9h54 x 180 fr.), plus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35 fr. 65, une vacation à 120 fr. et la TVA à 8,1 %, par 156 fr. 95, soit à un total de 2’094 fr. 60. Vu l’issue de la cause, les frais de la procédure d’appel, par 4’364 fr. 60, constitués de l’émolument de jugement et d’audience, par 2’270 fr. (art. 21 al. 1 et 2 TFIP), et de l’indemnité de défenseur d’office, par 2’094 fr. 60, seront mis à la charge d’R.________, qui succombe (art. 428 al. 1 CPP). La société K.________ Sàrl a droit à une indemnité pour les dépenses occasionnées par l’exercice raisonnable de ses droits en</w:t>
      </w:r>
    </w:p>
    <w:p>
      <w:r>
        <w:t>- 23 - procédure d’appel. Me Frédéric Hainard, conseil de choix, a produit une liste d’opérations dans laquelle il indique une activité nécessaire d’avocat de 7h25, hors temps d’audience (estimé à 1h30) au tarif horaire de 350 fr., dont 45 minutes consacrées à l’établissement de trois réquisitions de poursuite. Celles-ci seront retranchées, dès lors qu’elles ne concernent pas la présente procédure pénale. C’est donc un activité nécessaire d’avocat de 6h40 qui sera retenue. On y ajoutera 1h00 pour tenir compte de la durée des débats d’appel. Enfin, les heures retenues seront indemnisées au tarif horaire de 300 fr., qui se situe dans la moyenne de la fourchette de 250 fr. à 350 fr. prévue par l’art. 26a al. 3 TFIP, la cause ne présentant pas de difficultés particulières qui justifieraient un tarif plus élevé (cf. TF 7B_35/2022 du 22 février 2024 consid. 5.3, JdT 2024 III 61). Ainsi, c’est une activité nécessaire d’avocat de 7h40, qui sera retenue. L’indemnité due doit ainsi être fixée à 2'300 fr. (7h40 x 300 fr.), plus des débours forfaitaires à concurrence de 2 % des honoraires admis, par 46 fr., et la TVA à 8,1 %, par 190 fr. 05, soit à un total de 2'536 fr. 05. Elle sera mise à la charge d’R.________. R.________ sera tenu de rembourser à l’Etat l’indemnité en faveur de son défenseur d’office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