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PE22.011461 vom 14. August 2023</w:t>
      </w:r>
    </w:p>
    <w:p>
      <w:r>
        <w:t>VD Tribunal cantonal, 2023-08-14, FR</w:t>
      </w:r>
    </w:p>
    <w:p>
      <w:r>
        <w:rPr>
          <w:b/>
        </w:rPr>
        <w:t xml:space="preserve">Quelle: </w:t>
      </w:r>
      <w:r>
        <w:t>https://mcp.opencaselaw.ch/entscheid/vd_gerichte_PE22.011461</w:t>
      </w:r>
    </w:p>
    <w:p>
      <w:r>
        <w:t>FR: VD_GERICHTE PE22.011461 du 14 août 2023</w:t>
      </w:r>
    </w:p>
    <w:p>
      <w:r>
        <w:t>IT: VD_GERICHTE PE22.011461 del 14 agosto 2023</w:t>
      </w:r>
    </w:p>
    <w:p>
      <w:pPr>
        <w:pStyle w:val="Heading2"/>
      </w:pPr>
      <w:r>
        <w:t>Erwägungen</w:t>
      </w:r>
    </w:p>
    <w:p>
      <w:r>
        <w:rPr>
          <w:b/>
        </w:rPr>
        <w:t>E. 21</w:t>
      </w:r>
    </w:p>
    <w:p>
      <w:r>
        <w:t>décembre 1937 ; RS 311.0), se rend coupable de diffamation celui qui, en s'adressant à un tiers, aura accusé une personne ou jeté sur elle le soupçon de tenir une conduite contraire à l'honneur, ou de tout autre fait</w:t>
      </w:r>
    </w:p>
    <w:p>
      <w:r>
        <w:t>- 7 -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148 IV 409 consid. 2.3).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Il y a toujours atteinte à l’honneur lorsqu’on évoque une infraction pénale ou un comportement clairement réprouvé par les conceptions morales généralement admises (ATF 148 IV 409 consid. 2.3 ;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119 IV 44 consid. 2a).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6B_632/2022 du 6 mars 2023 consid. 2.1). Du point de vue subjectif, il suffit que l'auteur ait eu conscience du caractère attentatoire à l'honneur de ses propos et qu'il les ait néanmoins proférés ; il n'est pas nécessaire qu'il ait eu la volonté de blesser la personne visée (ATF 137 IV 313 consid. 2.1.6 ; TF 6B_479/2022 du 9 février 2023 consid. 4.4.2). 2.2.3 L’inculpé n’encourra aucune peine, selon l’art. 173 ch. 2 CP, s’il prouve que les allégations qu’il a articulées ou propagées sont</w:t>
      </w:r>
    </w:p>
    <w:p>
      <w:r>
        <w:t>- 8 - conformes à la vérité (preuve de la vérité) ou qu’il avait des raisons sérieuses de les tenir de bonne foi pour vraies (preuve de la bonne foi). La preuve de la vérité est apportée lorsque l’auteur de la diffamation établit que tous les éléments essentiels des allégations qu’il a articulées ou propagées sont vraies (ATF 124 IV 149 consid. 3a ; TF 6B_1461/2021 du 29 août 2022 consid. 2.1.3).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 Petit Commentaire du Code pénal, 2e éd., Bâle 2017, n. 38 ad art. 173 CP). 2.2.4 Aux termes de l’art. 173 ch. 3 CP,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p. 321 ; ATF 132 IV 112 consid. 3.1 p. 116 ; TF 6B_1461/2021 du 29 août 2022 consid. 2.1.2).</w:t>
      </w:r>
    </w:p>
    <w:p>
      <w:r>
        <w:t>- 9 - 2.2.5 Pour qu'il y ait diffamation, il faut que l'auteur s'adresse à un tiers.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(TF 6B_229/2016 du 8 juin 2016 consid. 1 et les références). Dans un arrêt non publié du 11 juillet 1957 (cité dans l’ATF 86 IV 209, le Tribunal fédéral a examiné, sans la trancher, la question de savoir s’il n’y avait pas lieu d’exclure du cercle des tiers les confidents nécessaires. Dans un arrêt 6S.608/1991 du 24 janvier 1992, le Tribunal fédéral a, en corrélation avec l'art. 321 CP concernant la violation du secret professionnel, qu’un médecin était un confident nécessaire et a cette fois admis qu'il n'était pas un tiers au sens de l'art. 173 ch. 1 CP (ATF 145 IV 462 consid. 4.3.3 ; TF 6B_229/2016 du 8 juin 2016 consid. 1). 2.3 2.3.1 En l’espèce, il ressort des déclarations du prévenu qu’il avait un but précis en tête au moment d’établir le certificat médical litigieux, celui de permettre à sa patiente de consulter un service spécialisé dans les violences conjugales, lui-même ne disposant pas des compétences nécessaires pour l’accompagner face à cette problématique. Le document a donc été rédigé spécifiquement à l’attention des médecins de l’UIMPV ou de l’Unité de médecine des violences de l’Hôpital de Nyon. Le certificat médical de l’UIMPV du 22 mars 2022, produit par le recourant, atteste d’ailleurs qu’K.________ est effectivement suivie par ce service. Il apparaît ainsi que le prévenu a établi le certificat querellé en comptant sur le fait que celui-ci serait remis à des médecins spécialisés dans les violences conjugales, et non à des personnes tierces. Il y a lieu de considérer que les médecins à qui il envisageait que le certificat soit communiqué n’étaient, à ses yeux, pas des tiers mais des confidents nécessaires. Dans ces</w:t>
      </w:r>
    </w:p>
    <w:p>
      <w:r>
        <w:t>- 10 - circonstances, la première condition d’application de l’art. 173 ch. 1 CP n’est pas remplie. 2.3.2 De surcroit, il faut dans tous les cas admettre que le Dr G.________ a apporté la preuve de sa bonne foi au sens de l’art. 173 ch. 2 CP. Comme cela a été développé ci-dessus, il apparaît que le susnommé a établi le certificat médical critiqué dans le but spécifique que celui-ci soit remis aux médecins d’un service spécialisé dans la prise en charge des victimes de violences conjugales, ce qui a effectivement eu lieu par la suite. Les termes utilisés dans le certificat étaient nécessaires pour que les médecins en question saisissent la problématique d’K.________ et acceptent de la prendre en charge. Le médecin n’a en outre de toute évidence fait que réutiliser les termes employés par la patiente elle- même. En effet, le certificat médical du 22 mars 2022 de l’UIMPV atteste qu’K.________ a fait part de violences psychologiques et économiques par son conjoint, prenant la forme de menaces, chantage, pressions psychologiques, calomnie, insultes, manipulation et représailles, ce qui correspond au « harcèlement moral » mentionné dans le certificat médical du 25 janvier 2022. Contrairement à ce que soutient le recourant, il est inévitable qu’un certificat médical ait une part de subjectivité, puisqu’il y a des éléments qu’un médecin ne sera pas en mesure de vérifier par lui-même et pour lesquels il devra se fonder sur ce que son patient lui expose. Ceci est d’autant plus vrai pour un médecin généraliste, qui dispose par définition de compétences générales et qui ne peut donc pas procéder à une vérification approfondie de ce que ses patients lui rapportent. Son rôle est notamment de les diriger auprès d’un confrère spécialisé qui sera à même de les prendre en charge adéquatement, ce qui est exactement ce que le Dr G.________ a fait en l’espèce. 2.3.3 Enfin, le Dr G.________ n’a de toute évidence pas agi pour dire du mal de J.________. Il a déclaré à ce sujet n’avoir jamais rencontré le recourant avant son audition par le Ministère public, ce que ce dernier ne conteste pas, et n’avoir pas même su au moment de la rédaction du</w:t>
      </w:r>
    </w:p>
    <w:p>
      <w:r>
        <w:t>- 11 - certificat médical querellé duquel des deux maris qu’K.________ a eus il était question. En outre, il doit être considéré que le Dr G.________ a agi avec un motif suffisant puisque, d’une part, il n’a fait que relayer les propos tenus par sa patiente et, d’autre part, son but était de permettre à cette même patiente de pouvoir consulter un service spécialisé dans la prise en charge de la problématique à laquelle elle lui avait dit faire face. Les conditions de l’art. 173 ch. 3 CP ne sont manifestement pas réalisées, si bien que le prévenu était en droit d’apporter la preuve de sa bonne foi. 3. En définitive, le recours, manifestement mal fondé, doit être rejeté sans échange d’écritures (art. 390 al. 2 CPP), et l’ordonnance attaquée confirmée.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16 juin 2023 est confirmée. III. Les frais d’arrêt, par 1’100 fr. (mille cent francs), sont mis à la charge de J.________. IV. L’arrêt est exécutoire. La présidente : Le greffier :</w:t>
      </w:r>
    </w:p>
    <w:p>
      <w:r>
        <w:t>- 12 - Du Le présent arrêt, dont la rédaction a été approuvée à huis clos, est notifié, par l'envoi d'une copie complète, à : - Me Anaïs Brodard (pour J.________), - Ministère public central, et communiqué à : - M. le Procureur de l’arrondissement de La Côte, -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