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PE22.011384 vom 11. Oktober 2024</w:t>
      </w:r>
    </w:p>
    <w:p>
      <w:r>
        <w:t>VD Tribunal cantonal, 2024-10-11, FR</w:t>
      </w:r>
    </w:p>
    <w:p>
      <w:r>
        <w:rPr>
          <w:b/>
        </w:rPr>
        <w:t xml:space="preserve">Quelle: </w:t>
      </w:r>
      <w:r>
        <w:t>https://mcp.opencaselaw.ch/entscheid/vd_gerichte_PE22.011384</w:t>
      </w:r>
    </w:p>
    <w:p>
      <w:r>
        <w:t>FR: VD_GERICHTE PE22.011384 du 11 octobre 2024</w:t>
      </w:r>
    </w:p>
    <w:p>
      <w:r>
        <w:t>IT: VD_GERICHTE PE22.011384 del 11 ottobre 2024</w:t>
      </w:r>
    </w:p>
    <w:p>
      <w:pPr>
        <w:pStyle w:val="Heading2"/>
      </w:pPr>
      <w:r>
        <w:t>Erwägungen</w:t>
      </w:r>
    </w:p>
    <w:p>
      <w:r>
        <w:rPr>
          <w:b/>
        </w:rPr>
        <w:t>E. 6</w:t>
      </w:r>
    </w:p>
    <w:p>
      <w:r>
        <w:t>; PV aud. 2, ll. 35-36). Il a toutefois persisté à nier les menaces et à prétendre être resté pour séparer les parties. Ses déclarations, qui ont changé à plusieurs reprises en cours d’enquête et ne sont pas cohérentes avec le déroulement des événements tels qu’ils ressortent des propos concordants du plaignant et du témoin O.________ (P. 5) ainsi que des images de vidéosurveillance, ne sont absolument pas crédibles. On relèvera au demeurant que l’appelant n’a pas contesté sa condamnation pour menaces dans le cadre de son appel. Ainsi, à l’instar des premiers juges, la Cour de céans est convaincue que les faits se sont déroulés tels que décrits de manière constante par le plaignant et tels que reproduits dans l’acte d’accusation.</w:t>
      </w:r>
    </w:p>
    <w:p>
      <w:r>
        <w:t>- 18 - Enfin, s’il est vrai que les premiers juges n’ont pas indiqué que le prévenu avait subi une fracture de son coude à la suite du coup reçu du plaignant, la raison en est que cela ne change rien au déroulement des faits. Au demeurant, tant le coup de pied donné par le plaignant dans le genou gauche de R.________ que le coup qu’il a donné à X.________ avec la barre de fer ressortent de l’acte d’accusation. Au vu de ce qui précède, on ne discerne pas de violation de la présomption d’innocence dans les faits retenus par les premiers juges. Le grief doit être rejeté. 4. 4.1 L’appelant fait grief aux juges précédents d’avoir retenu l’infraction d’agression au lieu de la rixe. Le plaignant ne serait pas demeuré passif : il aurait donné à tout le moins un coup de pied dans le genou de R.________ et un coup de barre de fer à X.________, lui occasionnant une fracture au coude. Par ailleurs, le plaignant aurait fait usage de son spray au poivre contre X.________. Ces actes excéderaient largement une attitude passive et seraient donc inconciliables avec l’infraction d’agression. 4.2 Aux termes de l'art. 134 CP, quiconque participe à une agression dirigée contre une ou plusieurs personnes au cours de laquelle l’une d’entre elles ou un tiers trouve la mort ou subit une lésion corporelle est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w:t>
      </w:r>
    </w:p>
    <w:p>
      <w:r>
        <w:t>- 19 -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68_261/2021 du 2 février 2022 consid. 2.1.1 ; TF 6B_56/2020 du 16 juin 2020 consid. 2.3.2 ; TF 6B_543/2018 du 21 juin 2018 consid. 1.1.2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(ATF 135 IV 152 consid. 2.1.1 ; TF 68_261/2021 précité ; TF 6B_402/2019 du 27 août 2019 consid. 2.2). 4.3 En l’espèce, le tribunal a retenu que le prévenu était l'initiateur de l'incident par son attitude provocatrice et agressive, après quoi R.________ avait mené l'attaque, le prévenu restant dans le dos de la victime ainsi prise « en sandwich ». Après le jet de spray au poivre, le prévenu, « fâché par l'attitude initiale du plaignant, sous substance et aviné comme il l'a concédé, est resté proche des combattants avec un tesson de bouteille à la main, se joignant aux menaces proférées et fermant le cercle autour du plaignant ». Les premiers juges ont estimé que « si la qualification de rixe semblait de prime abord devoir être privilégiée, ce serait toutefois ne rendre justice ni aux circonstances d'un assaut gratuit et violent, ni au fait que deux individus agressifs porteurs d'objets très dangereux s'en prenaient à un seul homme désarmé. La disproportion des forces en présence et le danger pesant sur la vie même de la victime autorisaient dans le cadre de l'infraction d'agression la forme de passivité active dont elle a fait usage ». S'agissant de l’implication du prévenu, le tribunal a considéré que son attitude, sa seule présence auprès des</w:t>
      </w:r>
    </w:p>
    <w:p>
      <w:r>
        <w:t>- 20 - protagonistes principaux, bloquant toute échappée avec un tesson de bouteille à la main, et ses paroles, en faisaient un acteur à part entière. Peu importait qu'il ait frappé ou non. Cette appréciation doit être confirmée. L’appelant, rejoint ensuite par R.________, est venu sans raison importuner le plaignant qui n'avait rien demandé. L’appelant a été agressif envers le plaignant verbalement et physiquement, en se collant contre lui et en le suivant sur plusieurs mètres, dès que ce dernier lui a demandé calmement de se tenir à l’écart. R.________ est intervenu en lançant une bouteille en verre en direction de la victime, puis en le frappant à l’aide d’une barre de fer qu’il était allé démonter à cette fin. L’appelant, qui se tenait constamment derrière le plaignant pendant que R.________ le frappait, a participé à l’agression en proférant à réitérées reprises des menaces, tesson de bouteille à l’appui. Lorsque le plaignant a fui en direction de la gare, les deux agresseurs l’ont suivi en répétant qu’ils allaient « le crever ». Ce n’est que lorsque l’appelant a pris conscience de l’imminente implication de la police qu’il a pris peur et qu’il a insisté pour que les deux comparses quittent la scène. Ainsi, il y a bien eu un assaut de deux hommes contre un troisième qui ne l'avait pas provoqué. Il est compréhensible que le plaignant se soit défendu autant que possible face à deux personnes dont l'une se trouvait devant, l'autre derrière lui, après s'être initialement excusé pour calmer le jeu, avoir tenté d'apaiser la situation, puis fait usage d'un spray au poivre, arme défensive par excellence, qui est resté sans effet sur le prévenu (PV aud. 3, ll. 84-99). En outre, le prévenu omet de dire que si le plaignant l'a frappé, c'est parce qu'il lui disait « je vais te crever » en continu, tenant un tesson de bouteille à la main, et qu’il craignait une agression de sa part (PV aud. 3, ll. 113-115). Par ailleurs, l’objectif déclaré du plaignant lorsqu’il a frappé l’appelant avec la barre de fer n’était pas – contrairement à ce qu’a affirmé l’appelant aux débats d’appel – une volonté de lésion, mais de « le dissuader de revenir à la charge » (jugement querellé, p. 6). Partant, c’est à raison que la première instance a retenu que l’appelant s’était rendu coupable d’agression.</w:t>
      </w:r>
    </w:p>
    <w:p>
      <w:r>
        <w:t>- 21 - 5. 5.1 L’appelant estime que la peine prononcée à son encontre – à savoir dix mois de peine privative de liberté – est trop lourde. Selon lui, la rixe devrait être sanctionnée par une peine privative de liberté de six mois, auxquels s’ajouterait un mois de peine privative de liberté pour les menaces. Il fait valoir qu'il ne pouvait pas prévoir les réactions de R.________ – qu'il n'avait pas « cautionnées » –, ni celles du plaignant. Il relève que son comparse n'a été condamné qu'à douze mois de peine privative de liberté alors que son comportement a été bien plus violent que le sien. Il souligne également qu'il a lui-même été blessé, qu'il s'est excusé et qu’il s’est même engagé à dédommager le plaignant. La qualification juridique de rixe commanderait aussi une réduction sensible de la peine, la peine menace de cette infraction étant sensiblement plus basse que celle de l’agression (trois ans au lieu de cinq). Enfin, il critique la motivation de la peine prononcée à son encontre par les premiers juges, qu'il estime insuffisante, le jugement n'exposant en particulier pas quelle peine a été fixée pour l’infraction la plus grave, et ne tenant pas compte de l’intensité de sa volonté criminelle. L’appelant requiert également que sa peine soit assortie du sursis. Il fait valoir que ses antécédents sont de nature différente ; le seul point commun serait son addiction à l'alcool, qu'il tente de combattre avec une thérapie qui lui aurait fait comprendre que son parcours « s'inscrivait dans la reproduction d'un schéma hérité du comportement paternel ». Il souligne également qu'il vit depuis trois ans avec la même compagne, qu'il tente de retrouver un emploi et que les faits sont relativement anciens. Selon lui, son emprisonnement compromettrait ses efforts de sevrage. Le Ministère public quant à lui estime que le sursis octroyé à l’appelant le 15 novembre 2021 devrait être révoqué au profit d'une peine d'ensemble de vingt-deux mois. 5.2</w:t>
      </w:r>
    </w:p>
    <w:p>
      <w:r>
        <w:t>- 22 - 5.2.1 Le juge fixe la quotité de la peine d'après la culpabilité de l'auteur (art. 47 CP). ElIe doit être évaluée en fonction de tous les éléments objectifs pertinents, qui ont trait à l'acte lui-même, à savoir notamment la gravité de la lésion, le caractère répréhensible de l'acte et son mode d'exécution. Du point de vue subjectif, sont pris en compte I’intensité de la volonté délictuelle ainsi que les motivations et les buts de l’auteur. A ces composantes de la culpabilité, il faut ajouter les facteurs liés à l'auteur Iui-même, à savoir les antécédents, la réputation, la situation personnelle, la vulnérabilité face à la peine et le comportement après l'acte et au cours de la procédure pénale (ATF 141 IV 61 consid. 6.101).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TF 6B_1175/2017 du 11 avril 2018 consid, 2.1 ; TF 68_688/2014 du 22 décembre 2017 consid. 27.2.1). L'exigence, pour appliquer l'art. 49 al. 1 CP, que les peines soient de même genre, implique que le juge examine, pour chaque infraction commise, la nature de la peine à prononcer pour chacune d'elle.</w:t>
      </w:r>
    </w:p>
    <w:p>
      <w:r>
        <w:t>- 23 -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2.3.2 ; ATF 138 IV 120 consid. 5.2 ; ATF 137 IV 57 consid. 4.3.1). La peine privative de liberté et la peine pécuniaire ne sont pas des sanctions du même genre (ATF 144 IV 313 1.1 ; ATF 144 IV 217 consid. 2.2). 5.2.3 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68_395/2021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w:t>
      </w:r>
    </w:p>
    <w:p>
      <w:r>
        <w:t>- 24 -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TF 6B 42/2018 du 17 mai 2018 consid. 1.2). Cela étant posé, il n'est pas contestable que I’existence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 42/2018 du 17 mai 2018 précité consid. 1.2). 5.2.4 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w:t>
      </w:r>
    </w:p>
    <w:p>
      <w:r>
        <w:t>- 25 -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 5.2.5 Aux termes de l'art. 50 CP, si le jugement doit être motivé, le juge indique dans les motifs les circonstances pertinentes pour la fixation de la peine et leur importance. Le juge doit exprimer,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Il peut passer sous silence les éléments qui, sans abus du pouvoir d'appréciation, lui apparaissent non pertinents ou d'une importance mineure. La motivation doit cependant justifier la peine</w:t>
      </w:r>
    </w:p>
    <w:p>
      <w:r>
        <w:t>- 26 - prononcée, en permettant de suivre le raisonnement adopté, même si le juge n'est pas tenu d'exprimer en chiffres ou en pourcentages l'importance qu'il accorde à chacun des éléments qu'il cite (ATF 136 IV 55 consid. 5.6 ; ATF 134 IV 17 consid. 2.1 ; ATF 127 IV 101 consid. 2c ; TF 6B_529/2017 du 18 juillet 2017 consid. 1.1). Plus la peine est élevée, plus la motivation doit être complète (ATF 144 IV 313 consid. 1.2 ; TF 6B_1214/2021 du 26 octobre 2022 consid. 2.1.3 ; TF 6B_594/2019 du 4 juillet 2019 consid. 1.3.3). 5.3 5.3.1 En l’espèce, les premiers juges ont estimé que la culpabilité du prévenu était importante. Celui-ci avait suscité l'attaque contre un inconnu, sans motif et sans réfléchir, connaissant bien le caractère explosif de son acolyte. Loin de réparer son erreur, il avait ensuite conforté l'affrontement, y prenant part à sa manière « à tel point qu'il a essuyé des coups ». Certes, il n'avait pas personnellement frappé la victime et avait été le premier à quitter le combat, et c'est ce qui justifiait une peine moins lourde que celle infligée à R.________. Toutefois, sa prise de conscience était encore « très embryonnaire » puisqu'il niait l'évidence. A charge, ils ont mentionné le concours, à décharge, les excuses répétées et la réparation financière à laquelle le prévenu s’est engagé. Cette appréciation est adéquate. Tout d'abord, il est difficile de comparer le cas de R.________ à celui de l’appelant. R.________, au casier judiciaire certes plus chargé, avait une responsabilité pénale légèrement diminuée (P. 4, p. 26) et la peine prononcée à son encontre était partiellement complémentaire à une peine précédente. Il ressort cependant du jugement le concernant que l'incident litigieux a été sanctionné d’une peine de 11 mois, les 30 jours supplémentaires concernant d'autres faits. Ainsi, avec une responsabilité légèrement diminuée, R.________ a été sanctionné de 11 mois de peine privative de liberté. On peut supposer que sans cela la peine aurait été fixée à quelque 15 mois. La peine fixée à l’appelant est donc inférieure d’un tiers à celle de R.________.</w:t>
      </w:r>
    </w:p>
    <w:p>
      <w:r>
        <w:t>- 27 - L’appelant, s’il n’a pas frappé la victime, ne s’est jamais désolidarisé de son comparse. Il a participé à l’altercation en menaçant W.________ verbalement et par sa proximité physique. Si, vers la fin du conflit, il était pressé de partir, c’est uniquement parce qu’il craignait l’arrivée de la police (PV aud. 3, ll. 141-143). S’agissant de la réaction de R.________, l’appelant a lui-même déclaré : « J’ai eu peur de R.________ car je sais comme il est. Dès qu’il tourne, je sais qu’il est incontrôlable » (jugement querellé, p. 9). Prétendre ensuite qu’il ne pouvait pas prévoir sa réaction relève de la mauvaise foi. Jusqu’en appel, l’appelant a expressément insisté sur le fait que c’était le « jet de mousse » au poivre du plaignant qui « avait mis le feu aux poudres » (débats d’appel), provoquant l’ire de R.________ (P. 70/1, pp. 9 et 11 ; P. 74/1, p. 4). Ce faisant, il rejette la faute initiale sur la victime, confirmant que sa prise de conscience est toute relative. Par le passé, il été condamné en 2017, en 2019, en 2021, en 2022 et début 2025 pour des infractions variées : délit contre la loi fédérale sur les armes, les accessoires d’armes et les munitions (LArm ; RS 514.54), menaces, injure, voies de fait, empêchement d'accomplir un acte officiel, infractions contre le patrimoine, infractions contre la loi fédérale sur la circulation routière (LCR ; RS 741.01), d’abord à des jours-amende avec sursis, puis des jours- amende fermes et enfin une peine privative de liberté avec sursis. Les faits de la présente cause ont eu lieu deux mois après la condamnation la plus lourde, du 15 novembre 2021. On constate ainsi que l’appelant ne prend nullement la mesure de ses actes. Pour couronner le tout, il a encore été condamné le 30 janvier 2025 pour un vol commis le 14 décembre 2024, sous l’effet de l’alcool selon les explications du prévenu, soit deux mois après sa condamnation par l’autorité de première instance dans la présente affaire et alors qu’il avait formé appel. On relèvera que le rapport du 22 avril 2025 faisant état d’une abstinence totale de consommation d’alcool depuis trois ans doit ainsi être relativisé. Enfin, la condamnation pour agression étant confirmée, il n’y a pas lieu de réduire la peine en lien avec une peine menace inférieure. Cela étant, il est vrai que la motivation du tribunal ne permet pas de suivre le raisonnement adopté par les premiers juges dans le cadre</w:t>
      </w:r>
    </w:p>
    <w:p>
      <w:r>
        <w:t>- 28 - de la fixation de la peine, s’agissant notamment de l’application des principes prévalant en matière de concours d’infractions. La quotité de la peine étant critiquée par les appelants, il convient en tout état de cause de fixer à nouveau la peine. L’appelant est en définitive reconnu coupable d’agression, de menaces et de contravention à la loi fédérale sur les stupéfiants. Sous réserve de la contravention, qui n’est passible que d’une amende (cf. consid. 6 infra), une peine privative de liberté s’impose pour des motifs de prévention spéciale pour sanctionner les infractions en cause, de sorte qu’il y a concours au sens de l’art. 49 al. 1 CP. L’infraction la plus grave est l’agression, passible à elle seule de 9 mois de peine privative de liberté. Elle doit être augmentée d’un mois pour sanctionner les menaces. La peine privative de liberté de 10 mois prononcée en première instance sera dès lors confirmée. 5.3.2 Pour ce qui est du sursis, l’appelant a été condamné en novembre 2021 – soit deux mois avant les faits de la présente affaire qui datent de janvier 2022 – à une peine privative de liberté de 12 mois avec sursis. On se trouve dès lors dans le cadre de l'art. 42 al. 2 CP, qui exige des circonstances particulièrement favorables pour qu'un sursis puisse être accordé. L’appelant, né en 1993, bénéficie du revenu d’insertion depuis sept ou huit ans. Il est suivi par le Service de médecine des addictions du CHUV, initialement pour des troubles mentaux et du comportement liés à l’utilisation d’alcool ; le traitement consiste à maintenir l’abstinence par le biais d’entretiens motivationnels, sans traitement pharmacologique. Selon un projet de décision de l’Office de l’assurance-invalidité du 2 avril 2025, il devrait percevoir un quart de rente dès le 1er février 2021. On ignore toutefois les raisons de son invalidité, le projet de décision spécifiant uniquement qu’il s’agit d’une invalidité précoce qui existe depuis son enfance. Il suit actuellement une mesure de transition auprès du centre de formation professionnelle spécialisée Le Repuis, à raison de 32.5 heures par semaine, réparties sur cinq jours, et ce jusqu’au 31 juillet 2025. Il est</w:t>
      </w:r>
    </w:p>
    <w:p>
      <w:r>
        <w:t>- 29 - en couple depuis trois ans et a des projets de mariage et d’enfant, sans qu’ils soient concrets à ce stade. Au demeurant, il a à nouveau été condamné le 30 janvier 2025 pour un vol commis le 14 décembre 2024. On ne se trouve dès lors pas dans un cas de circonstances particulièrement favorables, de sorte que le sursis est exclu. 5.3.3 Avec les premiers juges, on peut considérer que la nouvelle peine privative de liberté de 10 mois, ferme, paraît suffisamment dissuasive pour que l’appelant ne commette pas d’autres crimes ou délits et qu’il peut ainsi être renoncé à la révocation du sursis octroyé le 15 novembre 2021. Le fait que l’appelant n'ait pas donné de coups à la victime et qu’il se soit excusé dès sa première audition n'est pas non plus négligeable à cet égard. L’appel du Ministère public sera rejeté sur ce point. Il se justifie toutefois de prolonger la durée de la mise à l’épreuve d’une année.</w:t>
      </w:r>
    </w:p>
    <w:p>
      <w:r>
        <w:rPr>
          <w:b/>
        </w:rPr>
        <w:t>E. 6.1</w:t>
      </w:r>
    </w:p>
    <w:p>
      <w:r>
        <w:t>Le prévenu conclut à ce que l’amende prononcée à son encontre soit réduite à 300 francs. Il fait valoir que même pour ce montant, la modicité de ses moyens le contraindra à des sacrifices importants.</w:t>
      </w:r>
    </w:p>
    <w:p>
      <w:r>
        <w:rPr>
          <w:b/>
        </w:rPr>
        <w:t>E. 6.2</w:t>
      </w:r>
    </w:p>
    <w:p>
      <w:r>
        <w:t>Le juge fixe l'amende et la peine privative de liberté de substitution en tenant compte de la situation de l'auteur afin que la peine corresponde à la faute commise (art. 106 al. 3 CP).</w:t>
      </w:r>
    </w:p>
    <w:p>
      <w:r>
        <w:rPr>
          <w:b/>
        </w:rPr>
        <w:t>E. 6.3</w:t>
      </w:r>
    </w:p>
    <w:p>
      <w:r>
        <w:t>En l’espèce, l'amende sanctionne une consommation hebdomadaire de marijuana entre le 13 septembre et le 22 décembre 2022. Compte tenu de la situation personnelle et de la culpabilité de l’appelant, l’amende de 300 fr. réprimant la contravention à la LStup est adéquate et sera confirmée. S’agissant de ses moyens, l’appelant pourra consacrer à l’amende le budget qui était auparavant dévolu à la drogue. La conversion de l’amende en une peine privative de liberté de substitution de 3 jours en cas de non-paiement fautif (art. 106 al. 3 CP) peut également être confirmée.</w:t>
      </w:r>
    </w:p>
    <w:p>
      <w:r>
        <w:t>- 30 -</w:t>
      </w:r>
    </w:p>
    <w:p>
      <w:r>
        <w:rPr>
          <w:b/>
        </w:rPr>
        <w:t>E. 7.1</w:t>
      </w:r>
    </w:p>
    <w:p>
      <w:r>
        <w:t>Le Parquet requiert l’expulsion de l’appelant de Suisse pour une durée de huit ans. Il fait valoir que ce dernier n'a jamais terminé sa formation professionnelle, ne travaille pas et vit de l'aide sociale, dans l'attente d'une décision de l'assurance-invalidité et a des dettes pour plus de 20'000 francs. Son intégration sur le plan tant social qu’économique serait mauvaise. A cela s’ajouteraient ses antécédents pénaux. Les conditions d’application de la clause de rigueur ne seraient ainsi pas réunies.</w:t>
      </w:r>
    </w:p>
    <w:p>
      <w:r>
        <w:rPr>
          <w:b/>
        </w:rPr>
        <w:t>E. 7.2</w:t>
      </w:r>
    </w:p>
    <w:p>
      <w:r>
        <w:t>Contrairement à la rixe, l'agression est un cas d'expulsion obligatoire (art. 66a al. 1 let. b CP) qui ne laisse comme marge de manœuvre que le cas de rigueur.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144 332 consid. 3.3.1). Dans le cadre de l'application de l'art. 66a al. 2 CP, il convient de s'inspirer des critères énoncés à l'art. 31 al. 1 de l'ordonnance relative à l’admission, au séjour et l’exercice d'une activité lucrative du 24 octobre 2007 (OASA ; RS 142.201) et de la jurisprudence y relative. Cet article prévoit qu'une autorisation de séjour peut être octroyée dans les cas individuels d'extrême gravité. L'autorité doit tenir compte notamment de l'intégration du requérant selon les critères définis à l'art. 58a al. 1 loi fédérale du 16 décembre 2005 sur les étrangers et l’intégration (LEI ; RS 142.20), de la situation familiale,</w:t>
      </w:r>
    </w:p>
    <w:p>
      <w:r>
        <w:t>- 31 -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w:t>
      </w:r>
    </w:p>
    <w:p>
      <w:r>
        <w:rPr>
          <w:b/>
        </w:rPr>
        <w:t>E. 7.3</w:t>
      </w:r>
    </w:p>
    <w:p>
      <w:r>
        <w:t>En l'espèce, le prévenu est né en Suisse. Il parle le portugais, même s’il dit ne pas maîtriser parfaitement cette langue. Ses parents sont retournés vivre au Portugal. Il ne travaille pas et n’a pas de famille en Suisse, si ce n’est sa compagne depuis trois ans. Il n'a pas de diplôme professionnel. Il vit de l’aide sociale et a des dettes à hauteur de 20'000 francs. Il pourrait tout aussi bien « reprendre sa vie en main » au Portugal qu'en Suisse. On ne peut pas dire que l'expulsion le mettrait dans une situation personnelle grave. Au vu de ces circonstances, l’application de la clause de rigueur ne se justifie pas. Dès lors, l’appel du Ministère public doit être admis sur ce point, étant précisé que l’expulsion sera prononcée pour une durée de cinq ans.</w:t>
      </w:r>
    </w:p>
    <w:p>
      <w:r>
        <w:rPr>
          <w:b/>
        </w:rPr>
        <w:t>E. 8</w:t>
      </w:r>
    </w:p>
    <w:p>
      <w:r>
        <w:t>En définitive, l’appel et l’appel joint de X.________ doivent être rejetés ; l’appel du Ministère public doit être partiellement admis et le jugement querellé réformé dans le sens des considérants. Me Jérôme Campart, défenseur d’office de X.________, a produit une liste d’opérations ne prêtant pas le flanc à la critique. En comptant la durée effective de l’audience, soit en enlevant vingt minutes au temps estimé, il sera retenu 19 heures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3’420 francs. S’y ajoutent 2 % pour les débours (art.</w:t>
      </w:r>
    </w:p>
    <w:p>
      <w:r>
        <w:t>- 32 - 3bis RAJ par renvoi de l’art. 26b TFIP), soit 68 fr. 40, une vacation à 120 fr. et 8.1% de TVA sur le tout, soit 292 fr. 30, de sorte que l’indemnité d’office pour la procédure d’appel s’élève au total à 3'900 fr. 70. Vu l’issue de la cause, les frais de la procédure d’appel, par 6'830 fr. 70, constitués des émoluments de jugement et d’audience, par 2’930 fr. (art. 21 al. 1 et 2 TFIP), ainsi que de l'indemnité précitée, sont mis par deux tiers, soit par 4’553 fr. 80, à la charge de X.________ (art. 428 al. 1, 1re phrase, CPP), le solde étant laissé à la charge de l’Etat. L’appelant sera tenu de rembourser à l’Etat les deux tiers de l'indemnité due en faveur de son défenseur d’office, soit 2’600 fr. 45,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