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PE22.011361 vom 27. Dezember 2022</w:t>
      </w:r>
    </w:p>
    <w:p>
      <w:r>
        <w:t>VD Tribunal cantonal, 2022-12-27, FR</w:t>
      </w:r>
    </w:p>
    <w:p>
      <w:r>
        <w:rPr>
          <w:b/>
        </w:rPr>
        <w:t xml:space="preserve">Quelle: </w:t>
      </w:r>
      <w:r>
        <w:t>https://mcp.opencaselaw.ch/entscheid/vd_gerichte_PE22.011361</w:t>
      </w:r>
    </w:p>
    <w:p>
      <w:r>
        <w:t>FR: VD_GERICHTE PE22.011361 du 27 décembre 2022</w:t>
      </w:r>
    </w:p>
    <w:p>
      <w:r>
        <w:t>IT: VD_GERICHTE PE22.011361 del 27 dicembre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de B.________ est recevable.</w:t>
      </w:r>
    </w:p>
    <w:p>
      <w:r>
        <w:rPr>
          <w:b/>
        </w:rPr>
        <w:t>E. 2.1.1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En outre, la détention peut être ordonnée s’il y a sérieusement lieu de craindre qu’une personne ne passe à l’acte après avoir menacé de commettre un crime grave (art. 221 al. 2 CPP). A l’expiration de la durée de la détention provisoire fixée par le tribunal des mesures de contrainte, le ministère public peut demander la prolongation de la détention (art. 227 al. 1, 1re phrase, CPP).</w:t>
      </w:r>
    </w:p>
    <w:p>
      <w:r>
        <w:t>- 7 -</w:t>
      </w:r>
    </w:p>
    <w:p>
      <w:r>
        <w:rPr>
          <w:b/>
        </w:rPr>
        <w:t>E. 2.1.2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w:t>
      </w:r>
    </w:p>
    <w:p>
      <w:r>
        <w:rPr>
          <w:b/>
        </w:rPr>
        <w:t>E. 2.2</w:t>
      </w:r>
    </w:p>
    <w:p>
      <w:r>
        <w:t>En l’espèce, le recourant ne conteste pas l’existence de soupçons suffisants de culpabilité à son égard. Il a d’ailleurs admis l’ensemble des faits qui lui étaient reprochés, soit à tout le moins qu’il consommait des fichiers illicites de pédopornographie tous les jours, qu’il en avait téléchargé une centaine sur son téléphone et que cela faisait 3 ans qu’il consultait ce type d’images sans pouvoir s’empêcher de le faire (PV aud. 1 et 2).</w:t>
      </w:r>
    </w:p>
    <w:p>
      <w:r>
        <w:rPr>
          <w:b/>
        </w:rPr>
        <w:t>E. 3.1</w:t>
      </w:r>
    </w:p>
    <w:p>
      <w:r>
        <w:t>Le recourant conteste l’existence d’un risque de réitération. Il soutient que le pronostic permettant de retenir un tel risque ne pourrait pas être établi en l’état, l’expertise psychiatrique mise en œuvre ayant précisément pour but de le définir. Le Tribunal des mesures de contrainte et le Ministère public ne s’appuieraient sur aucun élément actuel et concret pour évaluer le risque de récidive, qu’ils qualifieraient arbitrairement d’élevé.</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1B_176/2022 du 21 avril 2022 consid. 3.1). La gravité de l'infraction dépend, outre de la peine menace prévue par la loi, de la nature du bien juridique menacé et du contexte,</w:t>
      </w:r>
    </w:p>
    <w:p>
      <w:r>
        <w:t>- 8 -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1B_176/2022 du 21 avril 2022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 ATF 137 IV 84 consid. 3.2, JdT 2011 IV 325 ; TF 1B_176/2022 du 21 avril 2022 consid. 3.1 ; TF 1B_234/2021 du 21 mai 2021 consid. 2.1). Lorsqu'on dispose d'une expertise psychiatrique ou d'un pré-rapport,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1B_88/2022 du 29 mars 2022 consid. 3.1).</w:t>
      </w:r>
    </w:p>
    <w:p>
      <w:r>
        <w:rPr>
          <w:b/>
        </w:rPr>
        <w:t>E. 3.3</w:t>
      </w:r>
    </w:p>
    <w:p>
      <w:r>
        <w:t>En l’occurrence, les faits reprochés au recourant, au demeurant admis par ce dernier, sont particulièrement graves, dès lors</w:t>
      </w:r>
    </w:p>
    <w:p>
      <w:r>
        <w:t>- 9 - qu’ils touchent à l’intégrité sexuelle d’enfants mineurs. Par ailleurs, outre sa condamnation intervenue en 2016 pour le même genre de faits, il ressort du rapport d’expertise psychiatrique du 3 juillet 2014 (P. 12) que B.________ avait précédemment déjà été condamné à 3 mois d’emprisonnement avec sursis durant 3 ans pour avoir téléchargé, entre 1998 et 1999, des photos de contenu pornographique et pédophile. C’est dire que ni ces condamnations, ni le traitement ambulatoire ordonné à l’appui du jugement du 10 février 2016 n’ont suffi à le dissuader de récidiver. Contrairement à ce que soutient la défense, cette récidive a même débuté pendant le délai d’épreuve, le recourant reconnaissant qu’il a repris son activité délictueuse en 2019 (PV aud. 1, R. 6 p. 4), soit plus ou moins dès la fin du traitement ambulatoire dont il a bénéficié (PV aud. 2, lignes 32-33). Au surplus, les experts psychiatres qui ont examiné le recourant en 2014 ont posé un diagnostic de pédophilie et ont retenu que l’intéressé était à risque de commettre de nouvelles infractions du type de celles qui lui étaient reprochées et que, sans suivi psychothérapeutique, ce risque devait être considéré comme élevé. Or, compte tenu des actes faisant l’objet de la présente procédure, les conclusions de cette expertise paraissent toujours d’actualité, tant au niveau du diagnostic que du risque de réitération. Quoi qu’en pense la défense, il n’est en tout cas pas arbitraire de se fonder sur ces conclusions, à tout le moins aussi longtemps que les experts mandatés dans le cadre de la présente cause n’auront pas livré les leurs. Enfin, les déclarations du recourant – qui a notamment reconnu qu’il consommait des fichiers illicites tous les jours, que cela lui procurait de l’excitation sexuelle et qu’il ne pouvait pas s’en empêcher (PV aud. 1, R. 6) – sont particulièrement inquiétantes et dénotent même d’une tendance à l’intensification de la fréquence des agissements. Si le fait, invoqué par la défense, que le recourant ait admis les actes reprochés et qu’il ait demandé à se faire aider peut effectivement être appréhendé positivement et représenter un début de prise de conscience, cela ne</w:t>
      </w:r>
    </w:p>
    <w:p>
      <w:r>
        <w:t>- 10 - signifie pas encore que, libéré, l’intéressé parviendra à se raisonner et à éviter de poursuivre ses agissements répréhensibles. Considérant l’ensemble de ces éléments, le pronostic est défavorable et le risque de réitération d’actes de même nature est suffisamment important et concret pour justifier le maintien en détention du recourant.</w:t>
      </w:r>
    </w:p>
    <w:p>
      <w:r>
        <w:rPr>
          <w:b/>
        </w:rPr>
        <w:t>E. 3.4</w:t>
      </w:r>
    </w:p>
    <w:p>
      <w:r>
        <w:t>Les motifs fondant la détention provisoire étant alternatifs (TF 1B_242/2016 du 21 juillet 2016 consid. 5), il n’est pas nécessaire de déterminer si un risque de collusion devrait également être retenu.</w:t>
      </w:r>
    </w:p>
    <w:p>
      <w:r>
        <w:rPr>
          <w:b/>
        </w:rPr>
        <w:t>E. 4.1</w:t>
      </w:r>
    </w:p>
    <w:p>
      <w:r>
        <w:t>De manière subsidiaire à sa libération pure et simple, le recourant soutient que des mesures de substitution à la détention, principalement sous forme de la reprise d’un suivi psychiatrique auprès du Prof. V.________, serait de nature à contenir efficacement l’éventuel risque de récidive. Il relève également avoir entrepris toutes les démarches nécessaires afin d’être occupé à sa sortie de prison, notamment en entamant une reconversion professionnelle d’éducateur et de toiletteur canin.</w:t>
      </w:r>
    </w:p>
    <w:p>
      <w:r>
        <w:rPr>
          <w:b/>
        </w:rPr>
        <w:t>E. 4.2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w:t>
      </w:r>
    </w:p>
    <w:p>
      <w:r>
        <w:t>- 11 - la/les mesure(s) de substitution de toute condition propre à en garantir l'efficacité (ATF 145 IV 503 consid. 3.1 ; ATF 142 IV 367 consid. 2.1). L'art. 212 al. 3 CPP dispose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Le juge peut dès lors maintenir la détention provisoire ou pour des motifs de sûreté aussi longtemps qu'elle n'est pas très proche de la durée de la peine privative de liberté à laquelle il faut s'attendre concrètement en cas de condamnation (ATF 145 IV 179 consid. 3.1, JdT 2020 IV 3 ; ATF 143 IV 168 consid. 5.1 ; ATF 139 IV 270 consid. 3.1 et les arrêts cités).</w:t>
      </w:r>
    </w:p>
    <w:p>
      <w:r>
        <w:rPr>
          <w:b/>
        </w:rPr>
        <w:t>E. 4.3</w:t>
      </w:r>
    </w:p>
    <w:p>
      <w:r>
        <w:t>Dans le cas d’espèce, l’importance des biens à protéger est particulièrement importante. Comme déjà évoqué, le traitement ambulatoire que le recourant a déjà suivi auprès du Prof. V.________ durant</w:t>
      </w:r>
    </w:p>
    <w:p>
      <w:r>
        <w:rPr>
          <w:b/>
        </w:rPr>
        <w:t>E. 5</w:t>
      </w:r>
    </w:p>
    <w:p>
      <w:r>
        <w:t>Il résulte de ce qui précède que le recours, manifestement mal fondé, doit être rejeté sans échange d’écritures (cf. art. 390 al. 2 CPP) et l’ordonnance entreprise confirmée. Les frais de la procédure de recours, constitués du seul émolument d’arrêt (cf. art. 422 al. 1 CPP), par 1'210 fr. (art. 20 al. 1 TFIP [Tarif des frais de procédure et indemnités en matière pénale du 28 septembre 2010 ; BLV 312.03.1]), seront mis à la charge du recourant, qui succombe (cf. art. 428, al. 1re phrase, CPP). Par ces motifs, la Chambre des recours pénale prononce : I. Le recours est rejeté. II. L’ordonnance du 6 décembre 2022 est confirmée. III. Les frais d’arrêt, par 1'210 fr. (mille deux cent dix francs), sont mis à la charge de B.________. IV. L’arrêt est exécutoire. La présidente : La greffière : Du Le présent arrêt, dont la rédaction a été approuvée à huis clos, est notifié, par l'envoi d'une copie complète, à :</w:t>
      </w:r>
    </w:p>
    <w:p>
      <w:r>
        <w:t>- 13 - - Me Martine Dang, avocate (pour B.________),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