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PE22.011208 vom 14. Juli 2023</w:t>
      </w:r>
    </w:p>
    <w:p>
      <w:r>
        <w:t>VD Tribunal cantonal, 2023-07-14, FR</w:t>
      </w:r>
    </w:p>
    <w:p>
      <w:r>
        <w:rPr>
          <w:b/>
        </w:rPr>
        <w:t xml:space="preserve">Quelle: </w:t>
      </w:r>
      <w:r>
        <w:t>https://mcp.opencaselaw.ch/entscheid/vd_gerichte_PE22.011208</w:t>
      </w:r>
    </w:p>
    <w:p>
      <w:r>
        <w:t>FR: VD_GERICHTE PE22.011208 du 14 juillet 2023</w:t>
      </w:r>
    </w:p>
    <w:p>
      <w:r>
        <w:t>IT: VD_GERICHTE PE22.011208 del 14 luglio 2023</w:t>
      </w:r>
    </w:p>
    <w:p>
      <w:pPr>
        <w:pStyle w:val="Heading2"/>
      </w:pPr>
      <w:r>
        <w:t>Erwägungen</w:t>
      </w:r>
    </w:p>
    <w:p>
      <w:r>
        <w:rPr>
          <w:b/>
        </w:rPr>
        <w:t>E. 3</w:t>
      </w:r>
    </w:p>
    <w:p>
      <w:r>
        <w:t>Dans une seconde conclusion, le recourant expose avoir été « empêch[é] de faire des demandes en dommages et intérêts contre [son] accusateur ». A la lecture du recours, il est difficile de comprendre précisément ce que vise cette conclusion. Une interprétation extensive permettrait toutefois de se poser la question de savoir s’il s’agit d’une requête tendant à l’octroi d’une indemnité au sens de l’art. 429 CPP. Cela étant, s’agissant des frais de procédure, l’ordonnance de classement comportait un vice formel puisqu’elle ne chiffrait pas le montant de ceux-ci. A l’inverse, elle était claire en ce qui concerne le refus d’octroi d’une indemnité au sens de l’art. 429 CPP. Le recourant conteste donc un point ressortant de cette dernière décision et non pas de l’ordonnance rectificative. Ainsi, même si le recourant n’indique pas à quelle date il a reçu l’ordonnance de classement, il y a lieu de constater que sa conclusion relative à l’octroi d’une indemnité ne peut être que tardive, dans la mesure où dite décision est datée du 2 mai 2023 et que le recours a été déposé le 6 juin 2023. Le recours est dès lors irrecevable sur ce point.</w:t>
      </w:r>
    </w:p>
    <w:p>
      <w:r>
        <w:rPr>
          <w:b/>
        </w:rPr>
        <w:t>E. 4</w:t>
      </w:r>
    </w:p>
    <w:p>
      <w:r>
        <w:t>Il résulte de ce qui précède que le recours doit être partiellement admis, dans la mesure de sa recevabilité, et l’ordonnance rectificative du 1er juin 2023 réformée à son chiffre IV en ce sens que les frais de procédure sont laissés à la charge de l’Etat. L’ordonnance est maintenue pour le surplus. Les frais de la procédure de recours, constitués en l'espèce de l'émolument d’arrêt, par 810 fr. (huit cent dix francs), seront laissés à la charge de l'Etat (art. 423 al. 1 CPP).</w:t>
      </w:r>
    </w:p>
    <w:p>
      <w:r>
        <w:t>- 10 - Par ces motifs, le juge unique prononce : I. Le recours est partiellement admis, dans la mesure de sa recevabilité. II. L’ordonnance rectificative du 1er juin 2023 est réformée comme il suit au chiffre IV de son dispositif : « IV. laisse les frais de procédure, par CHF 1'425.-, à la charge de l’Etat ». III. Les frais d’arrêt, par 810 fr. (huit cent dix francs), sont laissés à la charge de l’Etat. IV. L’arrêt est exécutoire. La juge unique : La greffière : Du Le présent arrêt, dont la rédaction a été approuvée à huis clos, est notifié, par l'envoi d'une copie complète, à : - M. C.________, - Ministère public central, et communiqué à : - Mme la Procureure de l’arrondissement de La Côte,</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