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PE22.011199 vom 22. Januar 2025</w:t>
      </w:r>
    </w:p>
    <w:p>
      <w:r>
        <w:t>VD Tribunal cantonal, 2025-01-22, FR</w:t>
      </w:r>
    </w:p>
    <w:p>
      <w:r>
        <w:rPr>
          <w:b/>
        </w:rPr>
        <w:t xml:space="preserve">Quelle: </w:t>
      </w:r>
      <w:r>
        <w:t>https://mcp.opencaselaw.ch/entscheid/vd_gerichte_PE22.011199</w:t>
      </w:r>
    </w:p>
    <w:p>
      <w:r>
        <w:t>FR: VD_GERICHTE PE22.011199 du 22 janvier 2025</w:t>
      </w:r>
    </w:p>
    <w:p>
      <w:r>
        <w:t>IT: VD_GERICHTE PE22.011199 del 22 gennaio 2025</w:t>
      </w:r>
    </w:p>
    <w:p>
      <w:pPr>
        <w:pStyle w:val="Heading2"/>
      </w:pPr>
      <w:r>
        <w:t>Erwägungen</w:t>
      </w:r>
    </w:p>
    <w:p>
      <w:r>
        <w:rPr>
          <w:b/>
        </w:rPr>
        <w:t>E. 3.1</w:t>
      </w:r>
    </w:p>
    <w:p>
      <w:r>
        <w:t>L’appelant conteste sa condamnation pour tentative de viol. Il fait valoir que l’élément objectif de la contrainte ferait défaut. Il en veut pour preuve qu’il n’y a eu aucun coup, aucun étranglement ni aucun acte à même de laisser le moindre hématome ou des griffures sur la peau de la victime. Il soutient en outre, pour autant qu’on le comprenne, que l’élément subjectif de l’intention ferait également défaut. Dans une nouvelle version présentée au stade de l’appel, il dit ne pas exclure, qu’alcoolisé, il ait pu avoir un geste « fort déplacé, mais départi de toutes intentions de pénétrer de force la victime ». Ainsi, s’il fallait retenir la version de celle-ci, il se serait tout au plus rendu coupable de désagréments causés par la confrontation à un acte d’ordre sexuel au sens de l’art. 198 CP.</w:t>
      </w:r>
    </w:p>
    <w:p>
      <w:r>
        <w:rPr>
          <w:b/>
        </w:rPr>
        <w:t>E. 3.2.1</w:t>
      </w:r>
    </w:p>
    <w:p>
      <w:r>
        <w:t>Les nouvelles dispositions du droit pénal en matière sexuelle, entrées en vigueur au 1er juillet 2024, qui étendent notamment l’infraction de viol en supprimant la condition de la contrainte, ne sont pas plus favorables à l’appelant, qui sera jugé selon les dispositions applicables au moment des faits litigieux. Selon l'art. 190 al. 1 aCP, celui qui, notamment en usant de menace ou de violence, en exerçant sur sa victime des pressions d'ordre psychique ou en la mettant hors d'état de résister, aura contraint une</w:t>
      </w:r>
    </w:p>
    <w:p>
      <w:r>
        <w:t>- 19 -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6B_127/2023 du 5 juin 2023 consid. 2.2.3 et les références citées). L’art. 190 aCP tend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6B_127/2023 précité consid. 2.2.3 et les références citées). Sur le plan subjectif, le viol est une infraction intentionnelle. L'auteur doit savoir que la victime n'est pas consentante ou en accepter l'éventualité (TF 6B_127/2023 précité consid. 2.2.3 ; TF 6B_780/2022 du 1er mai 2023 consid. 2.3 ; TF 6B_1317/2022 du 27 avril 2023 consid. 8.2).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2.2.3 ; TF 6B_780/2022 précité consid. 2.3).</w:t>
      </w:r>
    </w:p>
    <w:p>
      <w:r>
        <w:rPr>
          <w:b/>
        </w:rPr>
        <w:t>E. 3.2.2</w:t>
      </w:r>
    </w:p>
    <w:p>
      <w:r>
        <w:t>Selon l'art. 22 al. 1 CP, le juge peut atténuer la peine si l'exécution d'un crime ou d'un délit n'est pas poursuivie jusqu'à son terme ou que le résultat nécessaire à la consommation de l'infraction ne se produit pas ou ne pouvait pas se produire.</w:t>
      </w:r>
    </w:p>
    <w:p>
      <w:r>
        <w:t>- 20 -</w:t>
      </w:r>
    </w:p>
    <w:p>
      <w:r>
        <w:rPr>
          <w:b/>
        </w:rPr>
        <w:t>E. 3.3</w:t>
      </w:r>
    </w:p>
    <w:p>
      <w:r>
        <w:t>Il ressort des faits établis que l’appelant s’est couché derrière J.________, lui a caressé les seins, puis s’est placé sur elle et l’a maintenue sur le dos en la tenant par les épaules, a déchiré sa chemise de nuit et tenté de lui baisser sa culotte, avant de sortir son sexe et de l’approcher de son pubis. L’appelant a ainsi bien usé de la force et outrepassé le refus exprimé par J.________, qui s’est débattue. L’appelant n’est pas parvenu à ses fins car la victime a finalement réussi à le repousser. La contrainte est dès lors réalisée. Les éléments soulevés par D.________ ne sont pas de nature à remettre en question ce qui précède. Le fait qu’il n’ait pas porté de coups à la victime, ne l’ait pas étranglée ou menacée n’est pas pertinent. Il suffit de rappeler que ce n’est pas une tentative d’infraction qualifiée qui est reprochée à l’appelant, mais une tentative de l’infraction de base de viol, laquelle n’implique pas eo ipso une atteinte particulièrement grave à l’intégrité physique, psychique ou sexuelle de la victime (Dupuis et al. [éd.], Petit commentaire du Code pénal, 2e éd., Bâle 2017, n. 13 ad art. 189 CP et n. 13 art. 190 CP). L’intention est en outre réalisée. L’appelant ne peut rien tirer juridiquement du fait qu’il n’y a pas eu de pénétration, puisqu’il lui est reproché d’avoir commis une tentative de viol et non une infraction consommée. Pour le reste, lorsqu’il soutient que son intention n’était pas déterminable lorsqu’il a approché son sexe, en le tenant à la main, du pubis de la victime, son moyen est tout simplement téméraire. Il savait que la victime n'était pas consentante puisqu’elle l’a repoussé et il a voulu outrepasser cet absence de consentement pour parvenir à ses fins, soit imposer un acte sexuel complet à celle-ci. C’est parce que J.________ a finalement réussi à lui échapper qu’il n’est parvenu qu’à la toucher au niveau de la cuisse et non à la pénétrer avec son sexe. Les griefs soulevés par l’appelant sont mal fondés. Dès lors, au regard de ce qui précède, sa condamnation pour tentative de viol doit être confirmée.</w:t>
      </w:r>
    </w:p>
    <w:p>
      <w:r>
        <w:t>- 21 -</w:t>
      </w:r>
    </w:p>
    <w:p>
      <w:r>
        <w:rPr>
          <w:b/>
        </w:rPr>
        <w:t>E. 4.1</w:t>
      </w:r>
    </w:p>
    <w:p>
      <w:r>
        <w:t>L’appelant, qui plaide son acquittement, ne conteste pas à titre subsidiaire la peine qui lui a été infligée. Il convient néanmoins de la vérifier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 TF 7B_216/2022 du 1er avril 2025 consid. 2.1).</w:t>
      </w:r>
    </w:p>
    <w:p>
      <w:r>
        <w:rPr>
          <w:b/>
        </w:rPr>
        <w:t>E. 4.2.2</w:t>
      </w:r>
    </w:p>
    <w:p>
      <w:r>
        <w:t>Selon l'art. 42 al. 1 CP, le juge suspend en règle générale l'exécution d'une peine pécuniaire ou d'une peine privative de liberté de deux ans au plus lorsqu'une peine ferme ne paraît pas nécessaire pour détourner l'auteur d'autres crimes ou délits.</w:t>
      </w:r>
    </w:p>
    <w:p>
      <w:r>
        <w:t>- 22 - Selon l’art. 44 al. 1 CP, si le juge suspend totalement ou partiellement l’exécution d’une peine, il impartit au condamné un délai d’épreuve de deux à cinq ans.</w:t>
      </w:r>
    </w:p>
    <w:p>
      <w:r>
        <w:rPr>
          <w:b/>
        </w:rPr>
        <w:t>E. 4.3</w:t>
      </w:r>
    </w:p>
    <w:p>
      <w:r>
        <w:t>En l'espèce, l’appelant doit être condamné pour tentative de viol, infraction punie d’une peine privative de liberté de un à dix ans (art. 190 al. 1 aCP cum art. 22 CP). Il y a lieu de retenir, à l’instar des premiers juges, que la culpabilité de l’appelant est importante. Il s’en est pris à l’intégrité sexuelle d’une femme déjà fragilisée par un vécu traumatique et dont la situation était précaire (elle est divorcée et entretenait une relation hors union – comportement stigmatisé dans la communauté tamoule – avec G.________, dont le statut était illégal en Suisse au moment des faits), en tentant de la violer à son domicile. S’il n’est pas parvenu à ses fins, c’est grâce à la résistance et au courage de la victime. Il a ensuite immédiatement élaboré un stratagème pour se victimiser auprès de son voisin et de la police, à laquelle il a dénoncé l’occupation illégale de son logement par la victime et le compagnon de celle-ci. Ceux-ci ont ainsi été interpellés et emmenés au poste de police. La prise de conscience de D.________ de la gravité de ses actes est nulle. A décharge, il y a lieu de tenir compte, comme l’ont relevé les premiers juges, que la situation personnelle de l’appelant n’est pas favorable et qu’il a un parcours de vie difficile. Au vu de ces éléments, la peine privative de liberté de deux ans prononcées par les premiers juges est justifiée et doit être confirmée. D.________ a été mis au bénéfice du sursis complet et le délai d’épreuve a été fixé à deux ans. Le jugement devra dès lors être confirmé en ce sens que D.________ est condamné à une peine privative de liberté de deux ans, avec sursis durant deux ans.</w:t>
      </w:r>
    </w:p>
    <w:p>
      <w:r>
        <w:t>- 23 -</w:t>
      </w:r>
    </w:p>
    <w:p>
      <w:r>
        <w:rPr>
          <w:b/>
        </w:rPr>
        <w:t>E. 5.1</w:t>
      </w:r>
    </w:p>
    <w:p>
      <w:r>
        <w:t>L’appelant conteste son expulsion. Il se prévaut de sa présence en Suisse depuis 16 ans, de celle de ses deux enfants mineurs, de son absence d’attache véritable avec le Sri Lanka, de son état de santé médiocre nécessitant des soins constants et du risque qu’il a d’être emprisonné et torturé s’il retourne au Sri Lanka.</w:t>
      </w:r>
    </w:p>
    <w:p>
      <w:r>
        <w:rPr>
          <w:b/>
        </w:rPr>
        <w:t>E. 5.2.1</w:t>
      </w:r>
    </w:p>
    <w:p>
      <w:r>
        <w:t>Aux termes de l'art. 66a al. 1 let. h CP, le juge expulse de Suisse l'étranger qui est condamné notamment pour viol, quelle que soit la quotité de la peine prononcée à son encontre, pour une durée de cinq à quinze ans. Cette disposition s'applique également en cas de tentative (ATF 146 IV 105 consid. 3.4.1 ; ATF 144 IV 168 consid. 1.4.1 ; TF 7B_1317/2024 du 11 février 2025). 6.2.2 Selon l'art. 66a al. 2 CP, le juge peut exceptionnellement renoncer à une expulsion lorsque celle-ci mettrait l'étranger dans une situation personnelle grave et que les intérêts publics à l'expulsion ne l'emportent pas sur l'intérêt privé de l'étranger à demeurer en Suisse. Cette clause de rigueur permet de garantir le principe de la proportionnalité (cf. art. 5 al. 2 Cst. ; ATF 149 IV 231 consid. 2.1.1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w:t>
      </w:r>
    </w:p>
    <w:p>
      <w:r>
        <w:t>- 24 -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 TF 6B_350/2024 du 7 novembre 2024 consid. 1.2.1).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w:t>
      </w:r>
    </w:p>
    <w:p>
      <w:r>
        <w:rPr>
          <w:b/>
        </w:rPr>
        <w:t>E. 5.2.3</w:t>
      </w:r>
    </w:p>
    <w:p>
      <w:r>
        <w:t>Dans le cas où une situation personnelle grave est admise, il convient de déterminer si l'intérêt privé de l’appelant à demeurer en Suisse pourrait l'emporter sur les intérêts publics présidant à son expulsion. Cet examen implique en particulier d'apprécier si la mesure litigieuse respecte le principe de la proportionnalité découlant des art. 5 al. 2 Cst. et 8 par. 2 CEDH (TF 6B_350/2024 précité consid. 1.2.2 ; TF 6B_751/2023 du 10 septembre 2024 consid. 2.2.2).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(arrêts de la CourEDH E.V. c. Suisse du 18 mai 2021 [requête n° 77220/16], § 34; M.M. c. Suisse du 8 décembre 2020 [requête n° 59006/18], § 49 ; avec de nombreuses références; cf. ATF 139 I 145 consid. 2.4 ; ATF 139 I 31 consid. 2.3.3 ; TF 6B_751/2023 précité consid. 2.2.2). Selon la "règle des deux ans" (" Zweijahresregel ") issue du droit des étrangers, il faut, en cas de condamnation à une peine privative de liberté de deux ans ou plus, des circonstances extraordinaires pour que</w:t>
      </w:r>
    </w:p>
    <w:p>
      <w:r>
        <w:t>- 25 - l'intérêt privé de l'intéressé à rester en Suisse l'emporte sur l'intérêt public à une expulsion. Cela vaut en principe même en cas de mariage avec un suisse ou une suissesse et d'enfants communs (TF 6B_350/2024 précité consid. 1.2.1 ; TF 6B_1248/2023 du 9 avril 2024 consid. 3.4 ; TF 6B_694/2023 du 6 décembre 2023 consid. 3.2.2).</w:t>
      </w:r>
    </w:p>
    <w:p>
      <w:r>
        <w:rPr>
          <w:b/>
        </w:rPr>
        <w:t>E. 5.2.4</w:t>
      </w:r>
    </w:p>
    <w:p>
      <w:r>
        <w:t>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6B_751/2023 précité consid. 2.2.1).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w:t>
      </w:r>
    </w:p>
    <w:p>
      <w:r>
        <w:t>- 26 - qui concernent la famille dite nucléaire, soit celles qui existent entre époux, ainsi qu'entre parents et enfants mineurs vivant en ménage commun (ATF 144 II 1 consid. 6.1 ; ATF 135 I 143 consid. 1.3.2). Les relations entre enfants adultes et leurs parents ne bénéficient en revanche pas de la protection de l'art. 8 CEDH, sauf s'il existe entre eux une relation de dépendance qui va au-delà de liens affectifs normaux, par exemple en raison d'une maladie ou d'un handicap (ATF 144 II 1 consid. 6.1; 137 I 154 consid. 3.4.2 TF 6B_751/2023 précité consid. 2.2.1).</w:t>
      </w:r>
    </w:p>
    <w:p>
      <w:r>
        <w:rPr>
          <w:b/>
        </w:rPr>
        <w:t>E. 5.2.5</w:t>
      </w:r>
    </w:p>
    <w:p>
      <w:r>
        <w:t>Selon l'état de santé de l'intéressé et les prestations de soins disponibles dans l'État d'origine, l'expulsion du territoire suisse pourrait le placer dans une situation personnelle grave au sens de l'art. 66a CP ou être disproportionnée sous l'angle de l'art. 8 par. 2 CEDH (ATF 145 IV 455 consid. 9.1 ; TF 6B_1262/2023 du 1er juillet 2024 consid. 1.2.3). La CourEDH précise également que les éléments d'ordre médical doivent être pris en compte dans l'examen de l'art. 8 par. 2 CEDH, à travers le caractère provisoire ou définitif de l'interdiction du territoire (arrêt CourEDH Hasanbasic c. Suisse du 11 juin 2013 [requête n o 52166/09] § 54 ; cf. aussi: ATF 145 IV 455 consid. 9.1; arrêt 6B_1262/2023 précité consid. 1.2.3).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(ATF 145 IV 55 consid. 9.4; 135 II 110 consid. 4.2).</w:t>
      </w:r>
    </w:p>
    <w:p>
      <w:r>
        <w:rPr>
          <w:b/>
        </w:rPr>
        <w:t>E. 5.2.6</w:t>
      </w:r>
    </w:p>
    <w:p>
      <w:r>
        <w:t>Selon l'art. 66d al. 1 let. b CP, l'exécution de l'expulsion obligatoire ne peut être reportée que lorsque d'autres règles impératives du droit international s'opposent à l'expulsion. Cette disposition concrétise l'art. 25 al. 3 Cst., qui interdit de refouler une personne sur le territoire d'un État où elle risque de subir la torture ou une peine ou un traitement inhumains (cf. art. 3 CEDH et art. 3 de la Convention contre la torture et autres peines ou traitements cruels, inhumains ou dégradants, du 10 décembre 1984 ; RS 0.105). Dans cette hypothèse, l'interdiction de refoulement s'applique de manière absolue, à</w:t>
      </w:r>
    </w:p>
    <w:p>
      <w:r>
        <w:t>- 27 - savoir indépendamment du statut de l'étranger, de la gravité de la condamnation et de la menace que l'étranger représente pour l'ordre ou la sécurité publics (TF 6B_350/2024 précité consid. 1.2.5 ; TF 6B_1242/2023 du 2 octobre 2024 consid. 5.5.2).</w:t>
      </w:r>
    </w:p>
    <w:p>
      <w:r>
        <w:rPr>
          <w:b/>
        </w:rPr>
        <w:t>E. 5.3</w:t>
      </w:r>
    </w:p>
    <w:p>
      <w:r>
        <w:t>L'appelant, de nationalité srilankaise, qui est condamné pour tentative de viol, remplit a priori les conditions d'une expulsion obligatoire (art. 66a al. 1 let. h CP), sous réserve d'une application de la clause de rigueur (art. 66a al. 2 CP), voire également des normes de droit international. Sous l'angle du droit au respect de la vie privée, il doit être tenu compte du fait que l'appelant vit en Suisse depuis seize ans, ce qui constitue une durée de présence dans le pays qui n’est pas négligeable. Cela étant, il est arrivé sur le sol helvétique alors qu’il était déjà âgé de 26 ans, soit à l’âge adulte. En outre, malgré seize années passées en Suisse, il ne parle pas français. Titulaire d’un permis F, il n'a pas acquis de formation, ne travaille pas et vit des prestations de l'EVAM. Il fréquente des compatriotes srilankais et n’a construit aucune vie sociale en Suisse. Enfin, l’appelant n’a pas de famille en Suisse, son frère habitant en Allemagne et ses sœurs ainsi que sa mère étant demeurées au Sri Lanka. Il est divorcé et ne prétend pas entretenir une nouvelle relation de couple. Dans ces conditions, D.________ n'établit pas l'existence de liens sociaux et professionnels spécialement intenses avec la Suisse, notablement supérieurs à ceux qui résultent d'une intégration ordinaire. Il ne peut dès lors pas se prévaloir d'un droit au respect de sa vie privée. Il existe au contraire des motifs sérieux commandant de s'écarter de la présomption de liens suffisants avec la Suisse, dans la mesure où il présente des déficits d'intégration, pour les raisons développées ci-dessus. Sous l’angle du droit au respect de la vie familiale, il doit être tenu compte du fait que D.________ est père de deux enfants mineurs, âgés de 15 et 17 ans. L’appelant n’a cependant pas vu ceux-ci depuis</w:t>
      </w:r>
    </w:p>
    <w:p>
      <w:r>
        <w:t>- 28 - plusieurs années, à tout le moins depuis trois ans. En outre, il ne contribue pas à leur entretien. En l’absence de lien avec ses enfants, D.________ ne peut pas se prévaloir d'une atteinte à la vie familiale. En ce qui concerne l’état de santé de l’appelant, il ressort des pièces figurant au dossier qu’il souffre essentiellement d’une addiction à l’alcool et d’affections secondaires qui y sont associées (P. 33). Il a été hospitalisé à deux reprises en raison de crises d’épilepsie consécutives à un sevrage d’alcool (P. 36 et 41). Actuellement, il effectue une suivi habituel auprès d’un médecin de famille et bénéficie, à titre préventif, d’un suivi urologique au CHUV une fois par année (P. 33). Il bénéficie également d’un suivi psychothérapeutique auprès d’Appartenances en raison de troubles du comportement et mentaux liés à la consommation d’alcool (P. 40). Les affections dont souffre l’appelant ne justifient pas de renoncer à son expulsion, dans la mesure où il pourra être pris en charge dans son pays d’origine. En effet, l’appelant peut bénéficier d’un suivi auprès d’un médecin généraliste au Sri Lanka. En ce qui concerne spécifiquement son addiction à l’alcool, il est relevé que le pays compte sept centres de réadaptation pour les thérapies liées à l’alcool (cf. Secrétariat d’Etat aux migrations, 14 avril 2023, Focus Sri Lanka Gesundheitswesen : Psychiatrische Versorgung, SEM, not. p. 24). L’état de santé de l’appelant ne fait ainsi pas obstacle à son expulsion. En l'absence d'intégration réussie, d'atteinte à sa vie familiale ou d’un état de santé qui ferait obstacle à son renvoi au Sri Lanka, l'expulsion de l'appelant du territoire suisse ne le met pas dans une situation personnelle grave au sens de l'art. 66a al. 2 CP. La première condition n'est dès lors pas réalisée, de sorte que la clause de rigueur n'est pas applicable. Il n'y a ainsi en principe pas lieu d'examiner si la seconde condition prévue à l'art. 66a al. 2 CP est réalisée – soit celle de savoir si l'intérêt privé de l'appelant à demeurer en Suisse l'emporte sur les intérêts</w:t>
      </w:r>
    </w:p>
    <w:p>
      <w:r>
        <w:t>- 29 - publics à l'expulsion –, étant rappelé que les deux conditions sont cumulatives. La Cour de céans se limitera ainsi à relever que dite condition n'est en tout état de cause pas réalisée, étant rappelé que des circonstances extraordinaires doivent exister pour que l’intérêt privé de l’intéressé à rester en Suisse l’emporte sur l’intérêt public à une expulsion, dans la mesure où il est condamné à une peine privative de liberté de deux ans. L'appelant, qui n’est pas intégré en Suisse, ne prétend pas que sa réintégration dans son pays d'origine serait compliquée. Il y a vécu jusqu’à ses 26 ans, entretient de nombreux liens avec ses compatriotes et a des membres de sa famille proche qui y vivent encore. Il n’a certes pas de formation, mais son intégration professionnelle dans son pays d’origine paraît néanmoins plus simple qu’en Suisse, étant rappelé qu’il parle le tamoul, soit une langue nationale de son pays d’origine, alors qu’il ne parle aucune langue nationale suisse. L’intérêt privé de l’appelant à demeurer en Suisse est dès lors faible. En revanche, l'intérêt public présidant à son expulsion s'avère important. Il a porté atteinte à l’un des biens juridiques les plus précieux, soit l’intégrité sexuelle. Il n’a manifesté aucune prise de conscience quant à la gravité de son acte. L'intérêt public à expulser l’appelant prime dès lors sur son intérêt privé à demeurer en Suisse. La Cour de céans doit encore examiner, sous l’angle de l’art. 66d al. 1 let. b CP, s’il existe d’éventuels obstacles au prononcé de l’expulsion de l’appelant, en lien avec l’interdiction de la torture ou tout autre traitement ou peine cruels et inhumains, étant précisé que D.________ ne dispose pas du statut de réfugié en Suisse. A cet égard, l’appelant affirme, au stade de l’appel, qu’il risquerait de subir un emprisonnement et de la torture en cas de retour dans son pays d’origine « en raison de son engagement passé dans des mouvements politiques ». En cours de procédure, il a exposé qu’il avait eu des problèmes avec les militaires dans son pays car il existait des problèmes entre les communautés tamoule et cinghalaise, raison pour laquelle il avait quitté son village et s’était installé dans la capitale (PV aud. 2, p. 3). Aux débats de première instance, il a indiqué qu’il avait craint pour sa vie, car il faisait</w:t>
      </w:r>
    </w:p>
    <w:p>
      <w:r>
        <w:t>- 30 - partie d’un groupe militant, raison pour laquelle il avait fui le Sri Lanka (jugement entrepris, p. 5). Le Tribunal fédéral a déjà eu à examiner la conformité du prononcé d’une expulsion de ressortissants srilankais en lien avec l’art. 66d al. 1 let. b CP (not. TF 6B_1470/2022 du 29 août 2023 consid. 2.6.1). La Haute Cour se réfère à cet égard à la jurisprudence du Tribunal administratif fédéral. Selon cette autorité, depuis la fin de la guerre entre l'armée gouvernementale et les LTTE (abréviation de « Libération Tigers of Tamil Eelam »), en mai 2009, ce pays ne connaît plus une situation de guerre, de guerre civile ou de violence généralisée qui permettrait d'emblée – et indépendamment des circonstances particulières – de présumer, à propos de tous les ressortissants du pays, une mise en danger concrète. Il n'existe dès lors pas de risque général d'arrestation et de torture pour les Tamouls de retour au pays, sauf en présence de certains facteurs de risque. Ces facteurs de risque peuvent inclure, par exemple, des activités politiques en exil, un lien avec les LTTE ou le fait d'être inscrit sur une liste noire (Tribunal administratif fédéral D-758/2022 du 31 octobre 2024 consid. 4.3 et .4.4 ; E-3431/2020 du 21 juillet 2023 consid. 6.2.1 ; E-4403/2020 du 26 janvier 2023 consid. 8.3.2 ; D- 2494/2019 du 18 juin 2019 E. 9.3 et, en tant qu’arrêt de référence, E- 1866/2015 du 15 juillet 2016 consid. 8.5). En l’espèce, les déclarations vagues, lapidaires et non documentées de l’appelant ne permettent pas de retenir qu’il courrait un danger concret en cas de renvoi au Sri Lanka. Il ne revendique en particulier aucune appartenance aux LTTE au sein desquels il aurait occupé une position particulière ni aucune autre activité militante actuelle. Il n’allègue pas non plus ni ne tente de démontrer a fortiori qu’il figurerait sur une liste noire. Dès lors, l'intérêt que les autorités sri-lankaises pourraient avoir pour le requérant demeure obscur. Son appartenance à la minorité tamoule, qui est établie, ne justifie pas à elle seule de retenir un risque accru d'arrestation et des risques de torture ou autres traitements dégradants ou inhumains qui pourraient en découler.</w:t>
      </w:r>
    </w:p>
    <w:p>
      <w:r>
        <w:t>- 31 - La Cour de céans considère dès lors que le renvoi de l’appelant au Sri Lanka ne viole pas l’art. 3 CEDH. Par conséquent, aucun motif justifiant un report de l'expulsion au sens de l'art. 66d al. 1 let. b CP n'est constaté. Pour le surplus, l'appelant ne formule aucun grief relatif à la durée de la mesure prononcée à son encontre. La durée de 8 ans fixée par les premiers juges est adéquate et conforme au principe de la proportionnalité découlant des art. 5 al. 2 Cst. et 8 par. 2 CEDH, de sorte qu’elle devra être confirmée. Partant, les griefs soulevés par l'appelant sont mal fondés et le jugement devra être confirmé, le prononcé de l'expulsion ne violant pas le droit fédéral et international.</w:t>
      </w:r>
    </w:p>
    <w:p>
      <w:r>
        <w:rPr>
          <w:b/>
        </w:rPr>
        <w:t>E. 6</w:t>
      </w:r>
    </w:p>
    <w:p>
      <w:r>
        <w:t>En définitive, l’appel de D.________ doit être rejeté et le jugement entrepris intégralement confirmé. Me Philippe Baudraz, défenseur d’office de D.________, a produit une liste d’opérations faisant état de 22 heures et 21 minutes d’activité d’avocat, qu’il a corrigée aux débats d’appel, en indiquant que le temps consacré à la rédaction de l’appel n’était en définitive pas de 11 heures et 57 minutes, mais de 6 heures (P. 74). Cette adaptation faite, il n’y a pas lieu de s’écarter de la liste des opérations produite, si ce n'est encore pour tenir compte de la durée effective de l’audience, soit 1 heure et 30 minutes. L’indemnité de défenseur d’office s’élève ainsi à 3'397 fr. 90, correspondant à 16 heures et 6 minutes d’activité d’avocat breveté au tarif horaire de 180 fr. et 36 minutes d’activité d’avocat-stagiaire au tarif horaire de 110 fr., soit 2'964 fr. d’honoraires, plus 59 fr. 30 de débours, un montant forfaitaire de 120 fr. pour la vacation et 254 fr. 60 de TVA à 8,1%. Au vu de l'issue de la cause, les frais de la procédure d'appel, constitués de l'émolument d'audience et de jugement, par 3’230 fr. (art. 21 al. 1 et 2 TFIP), ainsi que de l’indemnité allouée au défenseur d’office</w:t>
      </w:r>
    </w:p>
    <w:p>
      <w:r>
        <w:t>- 32 - de D.________, par 3'397 fr. 90, seront mis à la charge de l’appelant, qui succombe (art. 428 al. 1 CPP). D.________ sera tenu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