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PE22.011103 vom 23. März 2023</w:t>
      </w:r>
    </w:p>
    <w:p>
      <w:r>
        <w:t>VD Tribunal cantonal, 2023-03-23, FR</w:t>
      </w:r>
    </w:p>
    <w:p>
      <w:r>
        <w:rPr>
          <w:b/>
        </w:rPr>
        <w:t xml:space="preserve">Quelle: </w:t>
      </w:r>
      <w:r>
        <w:t>https://mcp.opencaselaw.ch/entscheid/vd_gerichte_PE22.011103</w:t>
      </w:r>
    </w:p>
    <w:p>
      <w:r>
        <w:t>FR: VD_GERICHTE PE22.011103 du 23 mars 2023</w:t>
      </w:r>
    </w:p>
    <w:p>
      <w:r>
        <w:t>IT: VD_GERICHTE PE22.011103 del 23 marzo 2023</w:t>
      </w:r>
    </w:p>
    <w:p>
      <w:pPr>
        <w:pStyle w:val="Heading2"/>
      </w:pPr>
      <w:r>
        <w:t>Erwägungen</w:t>
      </w:r>
    </w:p>
    <w:p>
      <w:r>
        <w:rPr>
          <w:b/>
        </w:rPr>
        <w:t>E. 4.1</w:t>
      </w:r>
    </w:p>
    <w:p>
      <w:r>
        <w:t>L'appelant conteste la peine pécuniaire de 150 jours-amende à 50 fr. le jour qui lui a été infligée. A ce titre, il fait grief à l’autorité précédente d’avoir qualifié à tort sa culpabilité de moyenne.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4.2.2</w:t>
      </w:r>
    </w:p>
    <w:p>
      <w:r>
        <w:t>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w:t>
      </w:r>
    </w:p>
    <w:p>
      <w:r>
        <w:t>- 18 -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 132 IV 1 consid. 6.1 et 6.2 ; TF 6B_406/2022 du 31 août 2022 consid. 2.1).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consid. 3.1).</w:t>
      </w:r>
    </w:p>
    <w:p>
      <w:r>
        <w:rPr>
          <w:b/>
        </w:rPr>
        <w:t>E. 4.2.3</w:t>
      </w:r>
    </w:p>
    <w:p>
      <w:r>
        <w:t>L’art. 34 CP dispose que, sauf disposition contraire, la peine pécuniaire est de trois jours-amende au moins et ne peut excéder 180 jours-amende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4.2.4</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t>- 19 -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6B_820/2022 précité consid. 2.1 ; TF 6B_147 /2021 du 29 septembre 2021 consid. 3.2).</w:t>
      </w:r>
    </w:p>
    <w:p>
      <w:r>
        <w:rPr>
          <w:b/>
        </w:rPr>
        <w:t>E. 4.3</w:t>
      </w:r>
    </w:p>
    <w:p>
      <w:r>
        <w:t>En l’espèce, c’est à juste titre que l’autorité précédente a qualifié la culpabilité de l’appelant de moyenne. En effet, il convient d’admettre qu’aux débats, le prévenu a indiqué avoir effectué les opérations financières litigieuses dans l’espoir que la comptabilité de la nouvelle société lui soit ensuite confiée, ce qui peut correspondre à la marche usuelle des affaires. On ne peut donc pas retenir une motivation gravement vénale. A charge, on retiendra que le prévenu a gravement violé la confiance que l’on attribue aux professionnels exerçant une activité du même genre et a porté atteinte à la solidité du tissu économique local. Il n’a pas collaboré à l’enquête ni exprimé des regrets à quelconque stade de la procédure. Contrairement à ce que plaide l’appelant, on ne tiendra pas compte du fait qu’il aurait agi pour le compte de son père, cette circonstance, comme on l’a vu ci-avant, n’étant pas établie, faute d’éléments suffisamment probants. Le fait de reporter la faute sur son père peut bien au contraire, être interprété comme une manière peu habile de se dédouaner, démontrant une absence de prise de conscience.</w:t>
      </w:r>
    </w:p>
    <w:p>
      <w:r>
        <w:t>- 20 - Il convient toutefois de faire application de la circonstance atténuante de l’écoulement du temps au sens de l’art. 48 let. e CP, les deux tiers du délai de prescription de l’infraction de gestion déloyale aggravée étant atteints à la date du jugement attaqué. Il n’y a pas lieu de modifier la quotité de la peine fixée par le premier juge, la circonstance des faits anciens ayant déjà été prise en compte dans la fixation de la peine comme cela ressort de la motivation du jugement attaqué.</w:t>
      </w:r>
    </w:p>
    <w:p>
      <w:r>
        <w:rPr>
          <w:b/>
        </w:rPr>
        <w:t>E. 4.4</w:t>
      </w:r>
    </w:p>
    <w:p>
      <w:r>
        <w:t>Compte tenu de ce qui précède, la peine pécuniaire de 150 jours-amende apparaît adéquate et doit être confirmée, ainsi que le montant du jour-amende – au demeurant non spécifiquement contesté – fixé à 50 fr. au vu de la situation personnelle et économique de l’appelant. Les conditions de l’art. 42 al. 1 CP étant réalisées, il convient de confirmer également le sursis octroyé ainsi que la durée du délai d’épreuve, arrêtée à 2 ans (cf. art. 44 al. 1 CP). On relèvera enfin que, dans les considérants du jugement attaqué (cf. consid. 3, p. 14), le premier juge a prononcé une amende additionnelle d’un montant de 1'000 fr., sans toutefois que cette condamnation ne soit reprise dans le dispositif. Cette inadvertance doit, en application du principe de l’interdiction de la reformatio in pejus, profiter à l’accusé, de sorte qu’il ne sera pas condamné à une telle peine dans le cadre du présent jugement.</w:t>
      </w:r>
    </w:p>
    <w:p>
      <w:r>
        <w:rPr>
          <w:b/>
        </w:rPr>
        <w:t>E. 5</w:t>
      </w:r>
    </w:p>
    <w:p>
      <w:r>
        <w:t>En concluant à son acquittement, A.S.________ conclut à ce que les frais de procédure soient laissés à la charge de l’Etat et à ce qu’une indemnité au sens de l’art. 429 al. 1 let. a CPP lui soit allouée. La condamnation de l’appelant pour l’infraction de gestion déloyale aggravée devant être confirmée, c’est à juste titre que le premier juge a mis l’intégralité des frais de procédure de première instance à sa charge (cf. art. 426 al. 1 CPP) et qu’il a refusé de lui allouer une indemnité au sens de l’art. 429 al. 1 let. a CPP.</w:t>
      </w:r>
    </w:p>
    <w:p>
      <w:r>
        <w:t>- 21 -</w:t>
      </w:r>
    </w:p>
    <w:p>
      <w:r>
        <w:rPr>
          <w:b/>
        </w:rPr>
        <w:t>E. 6</w:t>
      </w:r>
    </w:p>
    <w:p>
      <w:r>
        <w:t>Au vu de ce qui précède, l’appel de A.S.________ doit être rejeté et le jugement entrepris confirmé. Vu l’issue de la cause, les frais de la procédure d’appel, constitués de l’émoluments de jugement, par 2’090 fr. (art. 21 al. 1 et 2 TFIP [tarif des frais de procédure et indemnités en matière pénale du 28 septembre 2010 ; BLV 312.03.1]), seront mis à la charge de A.S.________, qui succombe (art. 428 al. 1 CPP). Pour ce motif également, il n’y a pas lieu de lui allouer une indemnité pour les dépenses occasionnées par ses droits de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