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PE22.010808 vom 16. November 2022</w:t>
      </w:r>
    </w:p>
    <w:p>
      <w:r>
        <w:t>VD Tribunal cantonal, 2022-11-16, FR</w:t>
      </w:r>
    </w:p>
    <w:p>
      <w:r>
        <w:rPr>
          <w:b/>
        </w:rPr>
        <w:t xml:space="preserve">Quelle: </w:t>
      </w:r>
      <w:r>
        <w:t>https://mcp.opencaselaw.ch/entscheid/vd_gerichte_PE22.010808</w:t>
      </w:r>
    </w:p>
    <w:p>
      <w:r>
        <w:t>FR: VD_GERICHTE PE22.010808 du 16 novembre 2022</w:t>
      </w:r>
    </w:p>
    <w:p>
      <w:r>
        <w:t>IT: VD_GERICHTE PE22.010808 del 16 novembre 2022</w:t>
      </w:r>
    </w:p>
    <w:p>
      <w:pPr>
        <w:pStyle w:val="Heading2"/>
      </w:pPr>
      <w:r>
        <w:t>Erwägungen</w:t>
      </w:r>
    </w:p>
    <w:p>
      <w:r>
        <w:rPr>
          <w:b/>
        </w:rPr>
        <w:t>E. 10</w:t>
      </w:r>
    </w:p>
    <w:p>
      <w:r>
        <w:t>ans, conforme au principe de la proportionnalité et de réformer le jugement entrepris dans ce sens. 7. En définitive, l’appel de J.________ doit être partiellement admis et le jugement entrepris réformé dans le sens des considérants. Le défenseur d’office de J.________ a produit une liste d’opérations (P. 47) faisant état de 7h06 d’activité d’avocat breveté et tenant compte de la durée de l’audience d’appel, dont il n’y a pas lieu de s’écarter. Ainsi, une indemnité d’un montant total de 1'660 fr. 15, TVA et débours compris, doit être allouée à Me Julien Gafner. Vu le sort de la cause, les frais de la procédure d’appel, par 4'040 fr. 15, constitués en l’espèce de l’émolument de jugement, par 2'380 fr. (art. 422 al. 1 CPP ; 21 al. 1 et 2 TFIP), ainsi que de l’indemnité allouée au défenseur d’office du prévenu, par 1'660 fr. 15, seront mis à raison des deux tiers, soit 2'693 fr. 45, à la charge de J.________, le solde étant laissé à la charge de l’Etat. J.________ ne sera tenu de rembourser à l’Etat les deux tiers du montant de l’indemnité allouée à son défenseur d’office que lorsque sa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