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PE22.010748 vom 3. Juni 2024</w:t>
      </w:r>
    </w:p>
    <w:p>
      <w:r>
        <w:t>VD Tribunal cantonal, 2024-06-03, FR</w:t>
      </w:r>
    </w:p>
    <w:p>
      <w:r>
        <w:rPr>
          <w:b/>
        </w:rPr>
        <w:t xml:space="preserve">Quelle: </w:t>
      </w:r>
      <w:r>
        <w:t>https://mcp.opencaselaw.ch/entscheid/vd_gerichte_PE22.010748</w:t>
      </w:r>
    </w:p>
    <w:p>
      <w:r>
        <w:t>FR: VD_GERICHTE PE22.010748 du 3 juin 2024</w:t>
      </w:r>
    </w:p>
    <w:p>
      <w:r>
        <w:t>IT: VD_GERICHTE PE22.010748 del 3 giugno 2024</w:t>
      </w:r>
    </w:p>
    <w:p>
      <w:pPr>
        <w:pStyle w:val="Heading2"/>
      </w:pPr>
      <w:r>
        <w:t>Erwägungen</w:t>
      </w:r>
    </w:p>
    <w:p>
      <w:r>
        <w:rPr>
          <w:b/>
        </w:rPr>
        <w:t>E. 4.1</w:t>
      </w:r>
    </w:p>
    <w:p>
      <w:r>
        <w:t>Comme indiqué ci-dessus, si la conclusion de l’appel relative à la quotité de la peine qui devrait être infligée A.C.________ est irrecevable puisqu’elle émane de la partie plaignante, la Cour de céans examine librement cette question si l’appel est admis s’agissant du principe de la culpabilité, ce qui est le cas en l’espèce.</w:t>
      </w:r>
    </w:p>
    <w:p>
      <w:r>
        <w:rPr>
          <w:b/>
        </w:rPr>
        <w:t>E. 4.2.1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t>- 28 -</w:t>
      </w:r>
    </w:p>
    <w:p>
      <w:r>
        <w:rPr>
          <w:b/>
        </w:rPr>
        <w:t>E. 4.2.2</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w:t>
      </w:r>
    </w:p>
    <w:p>
      <w:r>
        <w:t>- 29 - pronostic défavorable, car seul celui qui se repent de son acte mérite la confiance que l'on doit pouvoir accorder au condamné bénéficiant du sursis (TF 6B_930/2021 et 6B_938/2021 précités ; TF 6B_1403/2021 du 9 juin 2022 consid. 5.9.1 ; TF 6B_1175/2021 précité).</w:t>
      </w:r>
    </w:p>
    <w:p>
      <w:r>
        <w:rPr>
          <w:b/>
        </w:rPr>
        <w:t>E. 4.3</w:t>
      </w:r>
    </w:p>
    <w:p>
      <w:r>
        <w:t>La culpabilité de A.C.________ est importante. L’intéressé s’est servi sans scrupule de R.________ pour satisfaire ses pulsions sexuelles. Il a agi égoïstement et sans égards pour sa victime, faisant fi des manifestations de son désaccord. Les agissements de A.C.________ ont eu, et ont toujours, de lourdes conséquences sur l’appelante. Le prévenu refuse manifestement de prendre conscience de la gravité de ses actes, se victimisant et s’enfermant dans le déni. Il a en effet déclaré lors des débats de première instance qu’il avait été admis dans une université canadienne, mais qu’il ne s’y était pas rendu car il ne pouvait y aller sans avoir lavé son nom. Au vu des faits retenus, seule une peine privative de liberté est envisageable, compte tenu de la quotité de la sanction qui apparaît adéquate (cf. art. 34 al. 1 CP). Au final, c’est une peine privative de liberté de douze mois qui doit être prononcée. En ce qui concerne la question du sursis, on constate que A.C.________ n’a pas d’antécédents pénaux. En l’état, il n’apparaît pas qu’un pronostic défavorable puisse être retenu. L’intéressé pourra dès lors bénéficier du sursis à l’exécution de sa peine. Ses dénégations des actes commis justifient cependant un délai d’épreuve légèrement supérieur au minimum légal (art. 44 al. 1 CP).</w:t>
      </w:r>
    </w:p>
    <w:p>
      <w:r>
        <w:rPr>
          <w:b/>
        </w:rPr>
        <w:t>E. 5.1</w:t>
      </w:r>
    </w:p>
    <w:p>
      <w:r>
        <w:t>Comme pour la quotité de la peine, la Cour de céans examine librement la question de l’expulsion en cas d’admission de l’appel sur le principe de la culpabilité.</w:t>
      </w:r>
    </w:p>
    <w:p>
      <w:r>
        <w:rPr>
          <w:b/>
        </w:rPr>
        <w:t>E. 5.2</w:t>
      </w:r>
    </w:p>
    <w:p>
      <w:r>
        <w:t>Aux termes de l'art. 66a al. 1 let. h CP, le juge expulse de Suisse, pour une durée de cinq à quinze ans, l'étranger qui est condamné pour contrainte sexuelle (art. 189 CP), quelle que soit la quotité de la peine prononcée à son encontre.</w:t>
      </w:r>
    </w:p>
    <w:p>
      <w:r>
        <w:t>- 30 -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conformément à ce principe, renoncer à l'expulsion lorsque les conditions de l'art. 66a al. 2 CP sont réunies (ATF 144 IV 332 consid. 3.3 p. 339 s.).</w:t>
      </w:r>
    </w:p>
    <w:p>
      <w:r>
        <w:rPr>
          <w:b/>
        </w:rPr>
        <w:t>E. 5.3</w:t>
      </w:r>
    </w:p>
    <w:p>
      <w:r>
        <w:t>Ressortissant sénégalais, A.C.________ est né au Sénégal. Il a vécu dans ce dernier pays, puis en France. Actuellement, il habite et travaille à Paris. Son seul lien avec la Suisse est la présence de sa sœur, B.C.________. Il n’a aucune autre attache avec notre pays, ce qu’il a encore confirmé aux débats de première instance (p. 12-13).</w:t>
      </w:r>
    </w:p>
    <w:p>
      <w:r>
        <w:t>- 31 - Comme exposé ci-dessus, l’infraction contre l’intégrité sexuelle commise par l’intéressé entre dans le catalogue des crimes entraînant une expulsion obligatoire (art. 66a al. 1 let. h CPP). La clause de rigueur de l’art. 66a al. 2 CP ne trouve aucunement application dans le cas d’espèce. L’expulsion ne mettrait en effet pas A.C.________ dans une situation personnelle grave et aucun intérêt privé à demeurer en Suisse – qu’il n’a d’ailleurs jamais allégué – ne l’emporte sur l’intérêt public à son expulsion. Partant, l’expulsion de A.C.________ du territoire suisse doit être ordonnée. Sa durée sera de cinq ans, période minimale prévue par l'art. 66a al. 1 CP.</w:t>
      </w:r>
    </w:p>
    <w:p>
      <w:r>
        <w:rPr>
          <w:b/>
        </w:rPr>
        <w:t>E. 6</w:t>
      </w:r>
    </w:p>
    <w:p>
      <w:r>
        <w:t>La condamnation de A.C.________ implique que celui-ci doit supporter les frais de première instance (art. 426 al. 1 CPP), lesquels comprennent les indemnités allouées à Me Alain Vuithier et Raphaël Hämmerli par le tribunal de police (art. 135 al. 4 let. a CPP).</w:t>
      </w:r>
    </w:p>
    <w:p>
      <w:r>
        <w:rPr>
          <w:b/>
        </w:rPr>
        <w:t>E. 7</w:t>
      </w:r>
    </w:p>
    <w:p>
      <w:r>
        <w:t>Au vu de ce qui précède, l’appel doit être admis et le jugement entrepris réformé dans le sens des considérants. Me Alain Vuithier, défenseur d’office de A.C.________, a produit une liste d’opérations ne prêtant pas le flanc à la critique. En y ajoutant le temps de l’audience d’appel, il sera retenu 12 heures et 30 minutes d’activité, ainsi qu’une vacation. Au tarif horaire de 110 fr. d’une avocate- stagiaire (art. 2 al. 1 let. b et 3 al. 1 RAJ [règlement sur l’assistance judiciaire en matière civile du 7 décembre 2010 ; BLV 211.02.3] par renvoi de l’art. 26b TFIP [tarif des frais de procédure et indemnités en matière pénale du 28 septembre 2010 ; BLV 312.03.1]), son défraiement s’élève à 1’375 francs. S’y ajoutent 2% pour les débours (art. 3bis RAJ par renvoi de l’art. 26b TFIP), soit 27 fr. 50, une vacation à 80 fr. et 8.1% de TVA sur le tout, par 120 fr. 10, de sorte que l’indemnité d’office pour la procédure d’appel s’élève au total à 1’602 fr. 60. La liste des opérations de Me Raphaël Hämmerli, conseil juridique gratuit de R.________, doit être réduite de 30 minutes pour tenir</w:t>
      </w:r>
    </w:p>
    <w:p>
      <w:r>
        <w:t>- 32 - compte du temps effectif de l’audience d’appel. Il sera ainsi retenu 15 heures et 05 minutes d’activité, ainsi qu’une vacation. Au tarif horaire de 180 fr. (art. 2 al. 1 let. a RAJ par renvoi de l’art. 26b TFIP), son défraiement s’élève à 2'715 francs. S’y ajoutent 2% pour les débours, par 54 fr. 30, une vacation à 120 fr. et 8.1% de TVA sur le tout, par 234 francs, de sorte que l’indemnité de conseil juridique gratuit s’élève au total à 3’123 fr. 30 pour la procédure d’appel. Vu l’issue de la cause, les frais de la procédure d’appel, par 7’765 fr. 90, constitués des émoluments de jugement et d’audience, par 3’040 fr. (art. 21 al. 1 et 2 TFIP), ainsi que des indemnités précitées, sont mis à la charge de A.C.________, qui succombe (art. 428 al. 1, 1re phrase, CPP). A.C.________ sera tenu de rembourser à l’Etat les indemnités susmentionnées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