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PE22.010595 vom 4. Juli 2022</w:t>
      </w:r>
    </w:p>
    <w:p>
      <w:r>
        <w:t>VD Tribunal cantonal, 2022-07-04, FR</w:t>
      </w:r>
    </w:p>
    <w:p>
      <w:r>
        <w:rPr>
          <w:b/>
        </w:rPr>
        <w:t xml:space="preserve">Quelle: </w:t>
      </w:r>
      <w:r>
        <w:t>https://mcp.opencaselaw.ch/entscheid/vd_gerichte_PE22.010595</w:t>
      </w:r>
    </w:p>
    <w:p>
      <w:r>
        <w:t>FR: VD_GERICHTE PE22.010595 du 4 juillet 2022</w:t>
      </w:r>
    </w:p>
    <w:p>
      <w:r>
        <w:t>IT: VD_GERICHTE PE22.010595 del 4 luglio 2022</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L’écriture complémentaire déposée le 1er juillet 2022 après l’échéance du délai de recours de dix jours est en revanche irrecevable.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3</w:t>
      </w:r>
    </w:p>
    <w:p>
      <w:r>
        <w:t>Le recourant, qui admet expressément et à juste titre l’existence de soupçons suffisants de la commission d’une infraction grave, conteste en revanche l’existence d’un risque de fuite. Selon lui, ce risque ne serait pas concret, dès lors qu’il réside en Suisse depuis 2016, qu’il a fait venir son épouse dans notre pays dès qu’il s’est marié en 2020 et qu’il n’aurait jamais eu l’intention, ni un intérêt financier, à quitter le pays.</w:t>
      </w:r>
    </w:p>
    <w:p>
      <w:r>
        <w:t>- 4 -</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3.2</w:t>
      </w:r>
    </w:p>
    <w:p>
      <w:r>
        <w:t>En l’espèce, l’argumentation du recourant ne peut qu’être écartée. Il est en effet incontestable que les attaches qu’il a en Suisse sont ténues. Il est né au Cap-Vert, où il a vécu jusqu’à l’âge de 27 ans, a la nationalité portugaise et est au bénéfice d’un permis B, qu’il perdra probablement au terme de la présente procédure. L’intéressé parle très mal le français, ne réside en Suisse que depuis 2016 et n’y a pas de famille hormis son épouse. Même s’il a toujours travaillé dans notre pays, compte tenu de l’agression de l’un de ses collègues de travail, il semble évident qu’il perdra cet emploi, et il aura vraisemblablement de la peine à en trouver un autre. On ne peut ainsi pas parler d’une intégration de longue durée ni, désormais, d’un intérêt financier concret à rester en Suisse. Le recourant n’est marié que depuis le mois de décembre 2020 et son épouse ne travaille pas, ni ne parle le français. Elle semble également être de nationalité portugaise au vu de son nom de jeune fille ([...]). Compte tenu des charges qui pèsent contre lui, pour des faits graves qu’il reconnaît, de la peine et de la mesure d’expulsion obligatoire auxquelles il est exposé de ce fait, le risque qu’il quitte la Suisse pour se soustraire à la justice est à l’évidence important et concret. S’agissant du risque d’être exposé à la délivrance d’un mandat d’arrêt international en cas de fuite, qui serait dissuasif selon le recourant, on rappellera que le Portugal n’extrade pas ses ressortissants, et que d’autres pays ne collaborent pas avec RIPOL, de sorte qu’il ne serait pas même complètement empêché de voyager. Quant à son épouse, elle est susceptible de le suivre au Portugal,</w:t>
      </w:r>
    </w:p>
    <w:p>
      <w:r>
        <w:t>- 5 - ou au Cap-Vert, compte tenu qu’elle n’est elle-même pas intégrée en Suisse. Le risque de fuite est donc patent, et le recours mal fondé en tant qu’il le conteste.</w:t>
      </w:r>
    </w:p>
    <w:p>
      <w:r>
        <w:rPr>
          <w:b/>
        </w:rPr>
        <w:t>E. 4</w:t>
      </w:r>
    </w:p>
    <w:p>
      <w:r>
        <w:t>Le recourant requiert, subsidiairement, d’être mis au bénéfice de mesures de substitution. Selon lui, le dépôt de ses documents d’identité ainsi que d’une caution de 10'000 fr. devraient suffire à le dissuader de fuir. Il propose également de se présenter régulièrement à un poste de police.</w:t>
      </w:r>
    </w:p>
    <w:p>
      <w:r>
        <w:rPr>
          <w:b/>
        </w:rPr>
        <w:t>E. 4.1</w:t>
      </w:r>
    </w:p>
    <w:p>
      <w:r>
        <w:t>Conformément au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précité). Selon l'art. 237 al. 2 CPP, font notamment partie des mesures de substitution la fourniture de sûretés (let. a) (cf. art. 238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1B_569/2021 du 4 novembre 2021 consid. 3.1 et les arrêts cités).</w:t>
      </w:r>
    </w:p>
    <w:p>
      <w:r>
        <w:t>- 6 -</w:t>
      </w:r>
    </w:p>
    <w:p>
      <w:r>
        <w:rPr>
          <w:b/>
        </w:rPr>
        <w:t>E. 4.2</w:t>
      </w:r>
    </w:p>
    <w:p>
      <w:r>
        <w:t>En l’occurrence, les mesures de substitution proposées ne sont à l’évidence pas propres à prévenir efficacement la réalisation du risque de fuite constaté. En premier lieu, le dépôt des documents d’identité n’empêcherait pas le recourant de se déplacer à l’intérieur de l’espace Schengen, et donc de rejoindre le Portugal. En second lieu, le fait de se présenter régulièrement à un service administratif ne permettrait que de constater le risque de fuite postérieurement à sa réalisation. Enfin, s’agissant de la fourniture de sûretés, le recourant se contente de proposer le dépôt d’un montant de 10'000 fr., ce qui ne l’empêcherait pas de traverser la frontière, d’une part, et qui paraît par ailleurs insuffisant pour le dissuader de fuir. En tout état de cause, le recourant se borne à proposer le dépôt d’un montant sans fournir les précisions utiles exigées par la jurisprudence précitée pour déterminer s’il s’agit de garanties appropriées. Or, hormis l’absence de dettes, le prévenu n’a pas évoqué le moindre élément de fortune lors de l’examen de sa situation financière par la police en cours d’instruction (PV aud. 4 R. 6). Il s’ensuit que les mesures de substitution proposées ne présenteraient pas de garanties suffisantes. Le recours est donc également mal fondé sur ce point.</w:t>
      </w:r>
    </w:p>
    <w:p>
      <w:r>
        <w:rPr>
          <w:b/>
        </w:rPr>
        <w:t>E. 5</w:t>
      </w:r>
    </w:p>
    <w:p>
      <w:r>
        <w:t>Pour le surplus, la durée de la détention provisoire ordonnée est largement proportionnée compte tenu de la peine susceptible d’être prononcée en cas de condamnation.</w:t>
      </w:r>
    </w:p>
    <w:p>
      <w:r>
        <w:rPr>
          <w:b/>
        </w:rPr>
        <w:t>E. 6</w:t>
      </w:r>
    </w:p>
    <w:p>
      <w:r>
        <w:t>Au vu de ce qui précède, le recours, manifestement mal fondé, doit être rejeté sans échange d'écritures (art. 390 al. 2 CPP) et l'ordonnance du 14 juin 2022 confirmée. Les frais de la procédure de recours, constitués de l’émolument d’arrêt, par 770 fr. (art. 20 al. 1 TFIP [Tarif des frais de procédure et indemnités en matière pénale du 28 septembre 2010 ; BLV 312.03.1]), et des frais imputables à la défense d’office (art. 422 al. 1 et 2</w:t>
      </w:r>
    </w:p>
    <w:p>
      <w:r>
        <w:t>- 7 - let. a CPP), fixés à 450 fr. (2 h 30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9 fr., plus la TVA, par 35 fr. 35, soit à 495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let. a CPP). Par ces motifs, la Chambre des recours pénale prononce : I. Le recours est rejeté. II. L’ordonnance du 14 juin 2022 est confirmée. III. L'indemnité allouée à Me Sébastien Pedroli, défenseur d'office d’M.________, est fixée à 495 fr. (quatre cent nonante-cinq francs). IV. Les frais d'arrêt, par 770 fr. (sept cent septante francs), ainsi que l'indemnité allouée à Me Sébastien Pedroli, par 495 fr. (quatre cent nonante-cinq francs), sont mis à la charge d’M.________. V. Le remboursement à l'Etat de l'indemnité allouée sous chiffre III ci-dessus ne sera exigible d’M.________ que pour autant que sa situation financière le permette. IV. L’arrêt est exécutoire. La présidente : Le greffier :</w:t>
      </w:r>
    </w:p>
    <w:p>
      <w:r>
        <w:t>- 8 - Du Le présent arrêt, dont la rédaction a été approuvée à huis clos, est notifié, par l'envoi d'une copie complète, à : - Me Charles Navarro, avocat (pour M.________), - Ministère public central, et communiqué à : - M. le Président du Tribunal des mesures de contrainte, - Mme la Procureure de l’arrondissement de Lausanne, - Me Sébastien Pedroli, avocat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