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PE22.010202 vom 29. April 2024</w:t>
      </w:r>
    </w:p>
    <w:p>
      <w:r>
        <w:t>VD Tribunal cantonal, 2024-04-29, FR</w:t>
      </w:r>
    </w:p>
    <w:p>
      <w:r>
        <w:rPr>
          <w:b/>
        </w:rPr>
        <w:t xml:space="preserve">Quelle: </w:t>
      </w:r>
      <w:r>
        <w:t>https://mcp.opencaselaw.ch/entscheid/vd_gerichte_PE22.010202</w:t>
      </w:r>
    </w:p>
    <w:p>
      <w:r>
        <w:t>FR: VD_GERICHTE PE22.010202 du 29 avril 2024</w:t>
      </w:r>
    </w:p>
    <w:p>
      <w:r>
        <w:t>IT: VD_GERICHTE PE22.010202 del 29 aprile 2024</w:t>
      </w:r>
    </w:p>
    <w:p>
      <w:pPr>
        <w:pStyle w:val="Heading2"/>
      </w:pPr>
      <w:r>
        <w:t>Erwägungen</w:t>
      </w:r>
    </w:p>
    <w:p>
      <w:r>
        <w:rPr>
          <w:b/>
        </w:rPr>
        <w:t>E. 1.1</w:t>
      </w:r>
    </w:p>
    <w:p>
      <w:r>
        <w:t>Ressortissant suisse, X.________ est né le [...] 1974 à [...] en Iran. Il a vécu dans cette même localité, entouré de ses parents et de ses [...] frères et sœurs jusqu’à son départ pour la Suisse en 1999. A son arrivée, il s’est d’abord établi dans le canton de [...] avant de rejoindre le Canton de Vaud en 2005. Il s’est marié dans le courant de l’année 2004 et a eu, avec son épouse, une fille aujourd’hui âgée de 15 ans. Aux débats de première instance, il a exposé avoir rejoint [...] en 2018 et avoir œuvré en tant que chauffeur de camion jusqu’à l’accident qui fait l’objet de la présente procédure survenu le 7 juin 2022. Il a été en arrêt maladie depuis lors et jusqu’à ce que son contrat soit résilié par son employeur pour la fin du mois de mai 2024, suite à sa longue absence. Son loyer mensuel s’élève à 1'124 fr. et les assurances maladies pour toute la famille à 1'200 fr. par mois environ, étant relevé que les primes sont partiellement subsidiées. Aux débats d’appel, il a expliqué toujours suivre une thérapie avec des psychologues qu’il voit environ une fois tous les 10 jours et prendre des médicaments antidépresseurs ainsi que des somnifères. Il est dans l’attente d’une décision de l’AI et perçoit une rente de l’assurance- accident à hauteur d’environ 4'400 fr. par mois. Sa fille suit des études et est donc à sa charge. Son épouse ne travaille plus depuis 5 mois pour des raisons de santé mais elle perçoit toujours son salaire. Il n’a pas de fortune et a une dette privée de 5'000 fr. ainsi que des arriérés d’impôts pour environ 9'716 francs. Il envoie environ 5'000 fr. par année à sa belle-mère au Maroc pour qu’elle puisse s’acheter des médicaments (cf. supra p. 4).</w:t>
      </w:r>
    </w:p>
    <w:p>
      <w:r>
        <w:rPr>
          <w:b/>
        </w:rPr>
        <w:t>E. 1.2</w:t>
      </w:r>
    </w:p>
    <w:p>
      <w:r>
        <w:t>Le casier judiciaire suisse et le fichier SIAC de X.________ sont vierges de toute inscription.</w:t>
      </w:r>
    </w:p>
    <w:p>
      <w:r>
        <w:t>- 11 -</w:t>
      </w:r>
    </w:p>
    <w:p>
      <w:r>
        <w:rPr>
          <w:b/>
        </w:rPr>
        <w:t>E. 2</w:t>
      </w:r>
    </w:p>
    <w:p>
      <w:r>
        <w:t>Le 7 juin 2022, entre 6h00 et 6h30, A.A.________, X.________ et S.________, tous trois chauffeurs poids-lourds au sein de la société [...], ont quitté leur dépôt, au volant de leurs camions respectifs, à charge pour eux de se rendre sur les sites [...] et de [...], avec pour mission de prendre en charge des conteneurs, dans le but de les déplacer d’un site à l’autre. A un moment donné, les trois employés précités se sont rendus sur le site de [...] dans l’enceinte de l’entreprise [...]. A cet endroit, les chauffeurs avaient pour habitude d’effectuer le tour complet de l’entrepôt, avant de venir positionner leurs camions, en marche avant, dans la zone prévue pour le transbordement, étant précisé que l’accès au quai était ouvert à la circulation toute la journée. Toutefois, le jour en question, la présence exceptionnelle de plusieurs wagons Cargo (qui se trouvaient au bout de la voie CFF) ne leur permettait pas de procéder en ce sens. A.A.________, X.________ et S.________ ont ainsi été contraints de modifier leur parcours habituel, effectuant de longues marches arrière, une telle manœuvre étant rendue indispensable de par le fait que le transbordement ne peut se faire que depuis le côté droit du camion, le véhicule devant en outre être positionné parallèlement à la voie ferrée. Vers 7h30, après avoir effectué plusieurs transbordements, X.________ est à nouveau arrivé dans l’enceinte précitée, son camion étant alors chargé d’un conteneur vide. Avant d’entamer sa marche arrière, l’intéressé a remarqué la présence du camion de A.A.________, immobilisé le long de la voie de chemin de fer, moteur en marche, avec les quatre béquilles descendues, soit dans la configuration adéquate pour procéder au transbordement d’un conteneur sur un wagon. Malgré cela, X.________, pensant que son collègue se trouvait derrière son camion, en train de procéder aux tâches usuelles, a reculé sur 125 mètres environ, à une vitesse de 6 km/h (marge de sécurité déduite). Ladite manœuvre est intervenue sans l’aide d’une tierce personne, bien que la vue de X.________, vers l’arrière, était partiellement masquée, son camion n’étant au demeurant pas muni d’une caméra couvrant la zone directe à l’arrière. Simultanément, alors qu’il s’apprêtait à effectuer son opération de transbordement, A.A.________ a reçu un appel téléphonique de son chef d’équipe, J.________ ; les deux hommes se sont alors mis à discuter, étant</w:t>
      </w:r>
    </w:p>
    <w:p>
      <w:r>
        <w:t>- 12 - précisé que le premier nommé était à ce moment-là muni d’écouteurs AirPods. Lors de la conversation en question, J.________ a demandé à A.A.________ de récupérer, au terme de la manœuvre qu’il était en train d’effectuer, un conteneur qui se trouvait à proximité, sur un wagon. Dès lors, A.A.________, dont l’attention était probablement focalisée d’une part sur sa conversation téléphonique, d’autre part sur sa volonté de localiser le wagon dont venait de lui parler son supérieur, a pris un peu de recul par rapport à son emplacement initial, sans remarquer la marche arrière que son collègue X.________ était en train d’effectuer. A.A.________ a finalement été happé par le côté droit du poids-lourd, avant d’être écrasé par les roues arrière droites. Il est décédé sur les lieux de l’accident. B.A.________ et C.________, épouse, respectivement mère de feu A.A.________, ont déposé plainte et se sont constituées parties civiles en date du 22 juin 2022.</w:t>
      </w:r>
    </w:p>
    <w:p>
      <w:r>
        <w:rPr>
          <w:b/>
        </w:rPr>
        <w:t>E. 3.1</w:t>
      </w:r>
    </w:p>
    <w:p>
      <w:r>
        <w:t>L’appelant ne remet pas en question le déroulement – objectif – de l’accident tel qu’il figure dans l’acte d’accusation et retenu au chiffre C. 2 supra. En revanche, il conteste dans un premier grief que la loi fédérale sur la circulation routière (LCR ; RS 741.01) et ses dispositions d’exécution (OCR ; RS 714.11) puissent trouver application dans la mesure où l’accident n’aurait pas eu lieu sur le domaine public.</w:t>
      </w:r>
    </w:p>
    <w:p>
      <w:r>
        <w:t>- 15 -</w:t>
      </w:r>
    </w:p>
    <w:p>
      <w:r>
        <w:rPr>
          <w:b/>
        </w:rPr>
        <w:t>E. 3.2</w:t>
      </w:r>
    </w:p>
    <w:p>
      <w:r>
        <w:t>Les routes qui ne servent pas exclusivement à l’usage privé sont publiques (art. 1 al. 2 OCR) et la LCR régit la circulation sur la voie publique (art. 1 al. 1 LCR). La jurisprudence retient une conception large de la notion de route publique. Le facteur déterminant n’est pas de savoir si la surface de la route est en propriété privée ou publique, mais si elle est utilisée pour la circulation générale et si son usage est possible pour un groupe indéterminé de personnes, même si son utilisation est limitée par la nature de la route ou par le mode ou le but de son utilisation (ATF 104 IV 105 consid. 3 ; TF 6B_308/2022 du 2 avril 2024 consid. 3.1 ; TF 6B_335/2021 du 29 novembre 2021 consid. 3.1). Ainsi, le caractère public ne dépend pas de la volonté du propriétaire, mais de l’usage qui en est fait ; peu importe que la route ait un but particulier ou soit réservée à une certaine catégorie d’usagers (TF 6B_384/2020 du 23 août 2021 consid. 1.4). Le Tribunal fédéral a déjà eu l’occasion de juger que le parking d’un immeuble comprenant des places pour visiteurs était une voie publique dès lors que celui-ci était accessible à un nombre indéterminé de personnes (TF 6S.286/2003 du 26 septembre 2003 consid. 1.2 et 3.2 ; TF 6B_335/2021 précité ; TF 6B_422/2018 du 22 février 2019 consid. 2.1.2). En effet, l’aire de circulation en question était également accessible aux « visiteurs » (par exemple les invités, les fournisseurs et les artisans) pour lesquels des places de parking spécifiques avaient été aménagées. Le cercle de personnes autorisées était donc certes limité selon la nature ou le but de l’utilisation qu’elles en faisaient, mais il demeurait néanmoins indéterminé (TF 6S.286/2003 précité consid. 3.2). De même, le Tribunal fédéral a jugé que si une entreprise souhaitait limiter à un usage exclusivement privé, la nuit ou les jours fériés, une zone ouverte à la circulation publique pendant les heures de travail, cette intention devait être rendue visible aux tiers par des signaux ou une barrière. En l'absence de telles précautions claires, le caractère public restait intact (TF 6B_384/2020 précité consid. 1.4 in fine).</w:t>
      </w:r>
    </w:p>
    <w:p>
      <w:r>
        <w:t>- 16 -</w:t>
      </w:r>
    </w:p>
    <w:p>
      <w:r>
        <w:rPr>
          <w:b/>
        </w:rPr>
        <w:t>E. 3.3</w:t>
      </w:r>
    </w:p>
    <w:p>
      <w:r>
        <w:t>En l’espèce, et compte tenu de la description des lieux de l’accident faite par la police (cf. P. 17 et 18), la place de chargement en question était facilement accessible à d’autres personnes. Le parking, bien que situé sur une parcelle privée, était ouvert à la circulation et, même si le cercle de personnes autorisées ou sensées y travailler était limité, selon la nature ou le but de l’utilisation de l’endroit, il demeurait accessible à des tiers. Quant à la présence d’un portail muni d’une barrière, celle-ci était ouverte en permanence durant la journée. Du reste, l’appelant l’a confirmé aux débats de première instance (cf. jgmt, p. 8). Partant, c’est à bon droit que le premier juge a considéré que la LCR s’appliquait. On relèvera que, même si par impossible la LCR ne devait pas trouver application directement au cas d’espèce, il n’en demeure pas moins que ses dispositions générales s’appliqueraient par analogie dans la mesure où elles sont inspirées des principes généraux de la prudence. Ainsi, il est attendu d’un conducteur d’un camion sur un lieu privé qu’il respecte les mêmes précautions que celles qui s’imposent dans la circulation routière sur le domaine public lorsqu’il effectue une marche arrière dans un endroit où sont susceptibles de se trouver d’autres personnes se déplaçant à pied (ATF 115 IV 45 consid. 2a et 2c, JdT 1990 IV 112 ; TF 6B_308/2022 précité).</w:t>
      </w:r>
    </w:p>
    <w:p>
      <w:r>
        <w:rPr>
          <w:b/>
        </w:rPr>
        <w:t>E. 3.4</w:t>
      </w:r>
    </w:p>
    <w:p>
      <w:r>
        <w:t>Un examen externe ainsi qu’une autopsie médico-légale du corps de la victime a été effectuée le 8 juin 2022 au Centre universitaire romand de médecine légale. Selon le rapport du 21 février 2023, le décès de A.A.________ est dû aux lésions traumatiques sévères constatées, nécessairement mortelles à très brève échéance, et qui peuvent être la conséquence d’un heurt, suivi d’un franchissement par un camion, tel que proposé par la police (P. 19, p. 34). En outre, les analyses toxicologiques n’ont pas révélé la présence de substances interdites ou d’alcool dans le corps de la victime (P. 19, p. 30). En d roit :</w:t>
      </w:r>
    </w:p>
    <w:p>
      <w:r>
        <w:t>- 14 - 1.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X.________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2022 consid. 4.2 ; TF 6B_238/2020 du 14 décembre 2020 consid. 3.2).</w:t>
      </w:r>
    </w:p>
    <w:p>
      <w:r>
        <w:rPr>
          <w:b/>
        </w:rPr>
        <w:t>E. 4.1</w:t>
      </w:r>
    </w:p>
    <w:p>
      <w:r>
        <w:t>L’appelant soutient dans un second grief qu’aucune faute ne peut lui être imputée dans la mesure où il n’avait aucune obligation de se faire aider d’un tiers dans sa manœuvre de reculement. De plus, l’accident ne se serait, selon lui, pas produit si son collègue était resté derrière son camion, comme le prescrivent les directives du guide de la société [...], lors des manœuvres de chargement et déchargement (P. 17/2). Par ailleurs, l’appelant estime que si une négligence devait être retenue – ce qu’il conteste – le comportement de la victime, qui se serait déportée latéralement de manière imprévisible et inattendue, aurait été propre à rompre le lien de causalité.</w:t>
      </w:r>
    </w:p>
    <w:p>
      <w:r>
        <w:t>- 17 -</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6B_848/2022 du 21 juin 2023 consid. 2.1.1). Dans cette mesure, la présomption d’innocence se confond avec l’interdiction générale de l’arbitraire, prohibant une appréciation reposant sur des preuves inadéquates ou sans pertinence</w:t>
      </w:r>
    </w:p>
    <w:p>
      <w:r>
        <w:t>- 18 - (ATF 146 IV 88 consid. 1.3.1 ; ATF 145 IV 154 consid. 1.1 ; ATF 144 IV 345 consid. 2.2.3.3, JdT 2019 IV 147 ; TF 6B_47/2018 du 20 septembre 2018 consid. 1.1).</w:t>
      </w:r>
    </w:p>
    <w:p>
      <w:r>
        <w:rPr>
          <w:b/>
        </w:rPr>
        <w:t>E. 4.2.2</w:t>
      </w:r>
    </w:p>
    <w:p>
      <w:r>
        <w:t>L’art. 117 aCP (Code pénal suisse du 21 décembre 1937 ; RS 311.0), dans la teneur en vigueur au moment des faits n’est ni plus ni moins favorable à sa teneur au 1er juillet 2023, réprime le comportement de celui qui, par négligence, cause la mort d’une personne. La réalisation de cette infraction suppose la réunion de trois conditions : le décès d’une personne, une négligence et un lien de causalité entre la négligence et la mort de la victime (ATF 122 IV 145 consid. 3 ; TF 7B_76/2022 du 19 juillet 2024 consid. 3.3.1). Un acte se trouve en relation de causalité adéquate avec un résultat donné lorsque l'acte considéré est propre, d'après le cours ordinaire des choses et l'expérience générale de la vie, à engendrer un résultat du genre de celui qui s'est produit (ATF 133 IV 158 consid. 6.1 ; ATF 131 IV 145 consid. 5.1). Il n'est pas nécessaire que l’acte incriminé apparaisse comme la cause unique ou immédiate du résultat. Seul compte le fait que l'acte considéré représente l'une des conditions sans laquelle le résultat ne serait pas survenu (Corboz, Les infractions en droit suisse, vol. I, 3e éd., Berne 2010, n. 36 ad art. 117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w:t>
      </w:r>
    </w:p>
    <w:p>
      <w:r>
        <w:t>- 19 -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 135 IV 56 consid. 2.1 ; 134 IV 255 consid. 4.2.3). En second lieu, la violation du devoir de prudence doit être fautive, c'est-à-dire qu'il faut pouvoir reprocher à l'auteur une inattention ou un manque d'effort blâmable (ATF 135 IV 56 consid. 2.1 ; ATF 134 IV 255 consid. 4.2.3 et les références citées). Il faut en outre qu'il existe un rapport de causalité entre la violation fautive du devoir de prudence et les lésions de la victime. Un fait est la cause naturelle d'un résultat dommageable s'il en constitue une des conditions sine qua non ; il n'est pas nécessaire que l'événement considéré soit la cause unique ou immédiate du résultat. Le constat d'un lien de causalité naturelle relève du fait (ATF 143 III 242 consid. 3.7). Il y a causalité adéquate lorsque le comportement incriminé est propre, d'après le cours ordinaire des choses et l'expérience générale de la vie, à entraîner un résultat du genre de celui qui s'est produit.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La causalité adéquate peut être interrompue par un événement extraordinaire ou exceptionnel auquel on ne pouvait s'attendre –force naturelle, fait du lésé ou d'un tiers –, et qui revêt une importance telle qu'il s'impose comme la cause la plus immédiate du dommage et relègue à l'arrière-plan les autres facteurs ayant contribué à le provoquer - y compris le fait imputable à la partie recherchée. La causalité adéquate est une question de droit (ATF 143 III 242 ibidem).</w:t>
      </w:r>
    </w:p>
    <w:p>
      <w:r>
        <w:t>- 20 -</w:t>
      </w:r>
    </w:p>
    <w:p>
      <w:r>
        <w:rPr>
          <w:b/>
        </w:rPr>
        <w:t>E. 4.2.3</w:t>
      </w:r>
    </w:p>
    <w:p>
      <w:r>
        <w:t>L’art. 26 LCR prescrit de manière générale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(art. 31 al. 1 LCR). Selon la jurisprudence, le conducteur doit ainsi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L’art. 36 al. 4 LCR précise que le conducteur qui veut engager son véhicule dans la circulation, faire demi-tour ou marche arrière ne doit pas entraver les autres usages de la route, ces derniers bénéficiant alors de la priorité. L’art. 17 al. 1 OCR précise en outre qu’avant de démarrer, le conducteur s’assurera qu’il ne met en danger aucun enfant ou autre usage de la route. Lorsque le véhicule masque la vue vers l’arrière, le conducteur ne reculera pas sans l’aide d’une tierce personne, à moins que tout danger ne soit exclu.</w:t>
      </w:r>
    </w:p>
    <w:p>
      <w:r>
        <w:rPr>
          <w:b/>
        </w:rPr>
        <w:t>E. 4.3.1</w:t>
      </w:r>
    </w:p>
    <w:p>
      <w:r>
        <w:t>En l’espèce, conformément au rapport d’autopsie du 21 février 2023 (P. 19), A.A.________ est décédé des suites de l’accident survenu le 7 juin 2022. La première condition d’application de l’art. 117 aCP est donc réalisée.</w:t>
      </w:r>
    </w:p>
    <w:p>
      <w:r>
        <w:rPr>
          <w:b/>
        </w:rPr>
        <w:t>E. 4.3.2.1</w:t>
      </w:r>
    </w:p>
    <w:p>
      <w:r>
        <w:t>Quant à l’existence d’une négligence, il y a lieu de se référer aux articles 26 al. 1, 31 al. 1, 36 al 4 LCR et 17 al. 1 OCR pour déterminer le comportement attendu d’un conducteur de poids-lourd lorsqu’il effectue une marche arrière dans un environnement où travaillent d’autres personnes. En l’occurrence, la négligence repose sur le fait que l’appelant a procédé à une marche arrière sans l’aide d’un tiers, contrairement à ce</w:t>
      </w:r>
    </w:p>
    <w:p>
      <w:r>
        <w:t>- 21 - que prescrit l’art. 17 al. 1 OCR. Cette intervention accessoire s’imposait d’autant plus qu’il s’agissait là d’une manœuvre peu courante à cet endroit, selon les dires de l’appelant (PV aud. 6, l. 34ss ; jgmt, p. 7 et supra p. 3) et le témoignage de [...] (PV aud. 5, R. 9, p. 3). Ainsi, l’appelant ne pouvait qu’être conscient du danger que représentait le camion qu’il conduisait. Il savait qu’il n’avait pas une visibilité à 100% derrière lui lorsqu’il effectuait une marche arrière en regardant uniquement dans les rétroviseurs et sans disposer d’une caméra de recul. Il admet lui-même les limites conséquentes du champ de vision d’un conducteur qui n’aurait recours qu’à ce moyen auxiliaire pour déplacer le véhicule en question (« je dois bien admettre que cela ne permet pas de voir grand-chose » ; PV aud. 6, l. 100s.) et que « la manœuvre de reculement était très longue et (…) la configuration des lieux et la présence de l’autre camion ne [le] permettaient à aucun moment de voir l’arrière du camion » (cf. jgmt, p. 8). En réalisant sa manœuvre, sans l’aide d’un tiers et en se contentant des rétroviseurs, l’appelant a pris un risque et a manqué à son devoir de prudence le plus élémentaire. Son expérience professionnelle et ses habitudes de travail ne sauraient justifier un tel comportement ni même réduire le devoir de diligence qui était le sien vis-à-vis du danger que représentait sa manœuvre.</w:t>
      </w:r>
    </w:p>
    <w:p>
      <w:r>
        <w:rPr>
          <w:b/>
        </w:rPr>
        <w:t>E. 4.3.2.2</w:t>
      </w:r>
    </w:p>
    <w:p>
      <w:r>
        <w:t>L’appelant savait que la victime se trouvait à proximité de son camion dans la mesure où il avait déjà interrompu sa manœuvre une première fois lorsqu’il l’a vue sortir de son véhicule, lequel était stationné en parallèle au tronçon qu’il devait emprunter (PV aud. 5, R. 8, p. 3). Devant la police et aux débats de première instance, il a même indiqué ne pas avoir vérifié où A.A.________ se trouvait mais avoir « pensé » qu’il était à l’arrière de son camion, où il était censé se tenir (PV aud. 2, R. 5, p. 3 et jgmt, p. 6 et 8). Aux débats d’appel, il a admis être « parti du principe » qu’il se trouvait derrière le camion (cf. supra p. 3). Par conséquent, X.________ ne pouvait en déduire que la voie était libre au moment d’effectuer sa marche arrière, ce d’autant plus que A.A.________ aurait pu à tout moment rejoindre la cabine de son camion. Quoi qu’il en soit, le conducteur qui effectue une marche arrière doit être en mesure de s’arrêter immédiatement en présence d’un danger dès lors que sa</w:t>
      </w:r>
    </w:p>
    <w:p>
      <w:r>
        <w:t>- 22 - manœuvre est à l’origine du risque créé. L’appelant s’est facilité la tâche, probablement entrainé par la routine d’une activité qu’il accomplissait quotidiennement. Ce comportement doit lui être imputé à faute dès lors qu’il est la conséquence d’un manque d’effort blâmable. De plus, il n’a pas laissé assez de distance entre son camion et celui de A.A.________ comme en témoignent les photographies du cahier technique (cf. P. 18).</w:t>
      </w:r>
    </w:p>
    <w:p>
      <w:r>
        <w:rPr>
          <w:b/>
        </w:rPr>
        <w:t>E. 4.3.3</w:t>
      </w:r>
    </w:p>
    <w:p>
      <w:r>
        <w:t>L’examen du rapport de causalité ne permet pas d’exonérer l’appelant de sa responsabilité. La causalité naturelle résulte de la manœuvre de recul effectuée par l’appelant, manœuvre qui a provoqué le décès de la victime. Quant à la causalité adéquate, celle-ci est donnée dès lors que le comportement consistant à reculer avec un véhicule dangereux – ce que l’appelant concède (PV aud. 2 R. 19, p. 6) – dans un tel environnement de travail et sans bénéficier d’un champ de vision complet est propre, selon le cours ordinaire des choses et l’expérience générale de la vie, à conduire à un drame du genre de celui qui s’est produit. La présence d’autres personnes et véhicules n’était de loin pas exclue. La présence de la victime n’était donc pas inattendue. Il n’est en outre pas établi que A.A.________ se serait brusquement élancé latéralement sur la chaussée, serait tombé ou se serait couché sur la route avant qu’il soit percuté par le véhicule. Son comportement ne saurait donc être qualifié d’imprévisible au sens de la jurisprudence. Il n’est pas exclu que la victime ait fait preuve d’inattention ou d’un manque de précaution en ne gardant pas une distance de sécurité suffisante à l’égard du véhicule qui reculait. Cependant, l’attitude d’une personne à pied qui ne prend pas ses distances avec un véhicule effectuant une marche arrière n’a rien d’extraordinaire et ne saurait en aucun cas constituer un événement imprévisible, même s’agissant d’un collègue également chauffeur poids-lourd. L’inattention d’un piéton est une circonstance que tout automobiliste doit être en mesure d’envisager lorsqu’il réalise une telle manœuvre. En particulier, le fait que le camion fasse beaucoup de bruit ou qu’il dispose d’un dispositif sonore puissant lorsqu’il recule ne suffit évidemment pas pour considérer que toute mesure utile a été prise par son conducteur au point qu’il puisse se croire</w:t>
      </w:r>
    </w:p>
    <w:p>
      <w:r>
        <w:t>- 23 - autorisé à reculer partiellement à l’aveugle en toute sécurité. Il en va de même du fait qu’il avait convenu avec la victime et son autre collègue de procéder en l’absence d’un tiers (cf. jgmt p. 6 et 7 et supra p. 4). Pour le surplus, le fait que la victime était porteuse d’écouteurs à ce moment-là, et en pleine conversation téléphonique professionnelle, ne saurait constituer un motif exculpatoire. Il n’a en effet pas été établi que le port d’Airpods était proscrit au travail. Au contraire, il a été exposé en cours d’instruction qu’il arrivait fréquemment que l’employeur contacte les chauffeurs alors qu’ils se trouvaient à l’extérieur en mission. De plus, il est constant que le moteur du camion de la victime était allumé de sorte que les autres bruits s’en trouvaient à l’évidence atténués, voire masqués. De toute manière, il n’y a pas de compensation des fautes en droit pénal (ATF 122 IV 17). En conséquence, l’inattention de la victime n’a pas constitué la cause prépondérante de l’accident, au contraire du comportement de l’appelant qui reculait en utilisant uniquement la vision limitée offerte par ses rétroviseurs, un tel comportement reléguant à l’arrière-plan l’éventuelle inattention ou imprudence de la victime. Le rapport de causalité entre la négligence fautive et le décès de la victime est naturel et adéquat.</w:t>
      </w:r>
    </w:p>
    <w:p>
      <w:r>
        <w:rPr>
          <w:b/>
        </w:rPr>
        <w:t>E. 4.4</w:t>
      </w:r>
    </w:p>
    <w:p>
      <w:r>
        <w:t>En définitive, toutes les conditions objectives et subjectives de l’homicide par négligence sont réalisées, de sorte que la condamnation de l’appelant pour cette infraction doit être confirmée.</w:t>
      </w:r>
    </w:p>
    <w:p>
      <w:r>
        <w:rPr>
          <w:b/>
        </w:rPr>
        <w:t>E. 5.1</w:t>
      </w:r>
    </w:p>
    <w:p>
      <w:r>
        <w:t>L’appelant, qui conclut à son acquittement, ne conteste pas la quotité de la peine. Elle doit toutefois être examinée d’office.</w:t>
      </w:r>
    </w:p>
    <w:p>
      <w:r>
        <w:rPr>
          <w:b/>
        </w:rPr>
        <w:t>E. 5.2</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w:t>
      </w:r>
    </w:p>
    <w:p>
      <w:r>
        <w:t>- 24 -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 ; TF 6B_612/2024 du 18 septembre 2024 consid. 1.1).</w:t>
      </w:r>
    </w:p>
    <w:p>
      <w:r>
        <w:rPr>
          <w:b/>
        </w:rPr>
        <w:t>E. 5.3</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w:t>
      </w:r>
    </w:p>
    <w:p>
      <w:r>
        <w:t>- 25 - celui qui se repent de son acte mérite la confiance que l'on doit pouvoir accorder au condamné bénéficiant du sursis. Dans l'émission du pronostic, le juge dispose d'un large pouvoir d'appréciation (TF 6B_1049/2023 du 19 juillet 2024 consid. 5.1 et les arrêts cités).</w:t>
      </w:r>
    </w:p>
    <w:p>
      <w:r>
        <w:rPr>
          <w:b/>
        </w:rPr>
        <w:t>E. 5.4</w:t>
      </w:r>
    </w:p>
    <w:p>
      <w:r>
        <w:t>Le premier juge a considéré que la faute de X.________ n’était certes pas importante mais qu’elle avait eu des conséquences dramatiques. Le prénommé a omis de demander l’aide d’une tierce personne lors de sa manœuvre de reculement et cette absence a eu des suites tragiques. Il n’était ni sous l’influence de l’alcool, ni sous l’influence de stupéfiants et ne roulait pas à une vitesse excessive. Le prévenu avait expliqué être en arrêt maladie depuis les faits. Cet accident avait sans aucun doute été marquant pour X.________. Toutefois, aux débats de première instance, il n’avait pas fait preuve de beaucoup d’empathie à l’égard de la famille de la victime, l’épouse et la mère de A.A.________ qui étaient pourtant présentes. A décharge, le tribunal a tenu compte du fait que le prévenu était inséré socialement. Son casier judiciaire vierge était un facteur neutre et son absence d’inscription SIAC avait largement été pris en compte dans la peine proposée par le parquet. Ces considérations peuvent être suivies et la peine pécuniaire de 90 jours-amende, prononcée par le premier juge, doit être confirmée. Le montant du jour-amende sera fixé en fonction de la situation financière de l’appelant et arrêté à 50 fr., comme en première instance. Le prévenu, qui n’a pas d’antécédents judiciaires, remplit les conditions du sursis. Le délai d’épreuve sera fixé à deux ans. La Cour de céans renoncera en outre à prononcer une amende à titre de sanction immédiate, X.________ devant déjà s’acquitter des frais de justice et des conclusions civiles (cf. consid. 6 et 7 infra).</w:t>
      </w:r>
    </w:p>
    <w:p>
      <w:r>
        <w:rPr>
          <w:b/>
        </w:rPr>
        <w:t>E. 6.1</w:t>
      </w:r>
    </w:p>
    <w:p>
      <w:r>
        <w:t>L’appelant plaide ensuite une faute concomitante de A.A.________ qui aurait dû être retenue selon lui au moment de fixer des montants d’indemnisation à C.________ et B.A.________.</w:t>
      </w:r>
    </w:p>
    <w:p>
      <w:r>
        <w:t>- 26 -</w:t>
      </w:r>
    </w:p>
    <w:p>
      <w:r>
        <w:rPr>
          <w:b/>
        </w:rPr>
        <w:t>E. 6.2.1</w:t>
      </w:r>
    </w:p>
    <w:p>
      <w:r>
        <w:t>En vertu de l'art. 47 CO (Code des obligations du 30 mars 1911 ; RS 220),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Les circonstances particulières visées à l'art. 47 CO consistent dans l'importance de l'atteinte à la personnalité du lésé, cette disposition étant un cas d'application de l'art. 49 CO (cf. TF 4C.283/2005 du 18 janvier 2006 consid. 3.1.1, JdT 2006 I 476).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 Selon la pratique judiciaire répertoriée, pour la période courant de 1998 à 2000, on peut se fonder sur un montant ordinaire de 30'000 fr. à 50'000 fr. pour le conjoint et de 15'000 fr. à 30'000 fr. pour les enfants (Hütte/Ducksch/Gross, Le tort moral, 3e éd., avril 1996, p. I/62a, n. 7.4). Ces montants ont été portés plus récemment de 40'000 fr. à 50'000 fr. pour la perte d'un conjoint et de 20'000 fr. à 40'000 fr. pour la perte d'un parent (Guyaz, Le tort moral en cas d'accident : une mise à jour, in SJ 2013 II 215, p. 250 et les références citées).</w:t>
      </w:r>
    </w:p>
    <w:p>
      <w:r>
        <w:t>- 27 -</w:t>
      </w:r>
    </w:p>
    <w:p>
      <w:r>
        <w:rPr>
          <w:b/>
        </w:rPr>
        <w:t>E. 6.2.2</w:t>
      </w:r>
    </w:p>
    <w:p>
      <w:r>
        <w:t>La possibilité de réduire une indemnité pour tenir compte d'une faute concomitante, résultant de l'art. 44 al. 1 CO, existe dans le cas d'une indemnité pour tort moral (cf. ATF 131 III 12 consid. 8 ; ATF 128 I l 49 consid. 4.2 ; TF 6B_780/2022 du 1er mai 2023 consid. 4.2.1).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6B_780/2022 précité ; TF 6B_54/2021 du 26 septembre 2022 consid. 3.1).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6B_780/2022 précité). La réduction de l’indemnité – dont la quotité relève de l'appréciation du juge (cf. ATF 141 V 51 consid. 9.2 et les références citées ; cf. également ATF 138 III 252 consid. 2.1) – suppose que le comportement reproché au lésé soit en rapport de causalité naturelle et adéquate avec la survenance du préjudice (ATF 126 III 192 consid. 2d ; TF 6B_54/2021 du 26 septembre 2022 consid. 3.1).</w:t>
      </w:r>
    </w:p>
    <w:p>
      <w:r>
        <w:rPr>
          <w:b/>
        </w:rPr>
        <w:t>E. 6.3</w:t>
      </w:r>
    </w:p>
    <w:p>
      <w:r>
        <w:t>En l’occurrence, il n’y a pas lieu de retenir une faute concomitante de la victime. En effet, il n’est pas établi que A.A.________ se serait élancé brusquement latéralement sur la chaussée, serait tombé fautivement ou se serait couché sur la route avant qu’il ne soit percuté par le véhicule de X.________. Le fait que la victime était porteuse d’écouteurs Airpods à ce moment-là, en pleine conversation téléphonique avec son supérieur, ne saurait constituer un motif suffisant pour retenir une faute concomitante ; il n’a en effet pas été établi que le port de tels écouteurs était proscrit et il arrivait manifestement fréquemment que l’employeur contacte les chauffeurs alors qu’ils se trouvaient à l’extérieur en mission. Enfin, le moteur du camion de la victime était allumé de sorte que les autres bruits s’en trouvaient à l’évidence atténués voire masqués. Une</w:t>
      </w:r>
    </w:p>
    <w:p>
      <w:r>
        <w:t>- 28 - inattention est concevable mais elle serait demeurée, dans tous les cas, insignifiante face à un chauffeur poids-lourd qui recule partiellement à l’aveugle. Les montants alloués de 50'000 fr. pour B.A.________ et 40'000 fr. pour C.A.________ ayant perdu son époux, respectivement son père, âgé de 42 ans, sont adéquats et il peut être renvoyé, par adoption de motifs, à la motivation du jugement attaqué (cf. jgmt, p. 23 à 27 ; art. 82 al. 4 CPP), qui est claire et convaincante à cet égard.</w:t>
      </w:r>
    </w:p>
    <w:p>
      <w:r>
        <w:rPr>
          <w:b/>
        </w:rPr>
        <w:t>E. 7</w:t>
      </w:r>
    </w:p>
    <w:p>
      <w:r>
        <w:t>En conclusion, l’appel de X.________ doit être rejeté et le jugement du 29 avril 2024 confirmé. Il n’y a pas lieu de s’écarter de la liste des opérations produite par Me Alexis Overney, conseil de choix de C.________ et de B.A.________, et qui fait état de 8 heures et 30 minutes d’activité au tarif horaire de 250 francs. L’indemnité versée à C.________ et B.A.________, pour la procédure d’appel, sera donc fixée à 2'125 fr. (8h30 x 250 fr.), à laquelle viennent s’ajouter des débours à concurrence de 2 % des honoraires admis – et non 5 % tel que demandé – conformément à l’art. 3bis al. 1 RAJ (règlement sur l’assistance judiciaire en matière civile du 7 décembre 2010 ; BLV 211.02.3) applicable par renvoi de l’art. 26b TFIP (tarif des frais de procédure et indemnités en matière pénale du 28 septembre 2010 ; BLV 312.03.1), soit 42 fr. 50, une vacation hors canton à hauteur de 375 fr. et la TVA à 8,1 % sur le tout, par 205 fr. 94, soit au total 2'748 fr. 44. Cette indemnité sera mise à la charge de X.________. Vu l’issue de la cause, les frais d’appel, constitués des émoluments de jugement et d’audience, par 2’790 fr. (art. 21 al. 1 et 2 TFIP), seront mis à la charge de X.________ qui succombe (art. 428 al. 1 CPP).</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