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PE22.010163 vom 27. Juni 2022</w:t>
      </w:r>
    </w:p>
    <w:p>
      <w:r>
        <w:t>VD Tribunal cantonal, 2022-06-27, FR</w:t>
      </w:r>
    </w:p>
    <w:p>
      <w:r>
        <w:rPr>
          <w:b/>
        </w:rPr>
        <w:t xml:space="preserve">Quelle: </w:t>
      </w:r>
      <w:r>
        <w:t>https://mcp.opencaselaw.ch/entscheid/vd_gerichte_PE22.010163</w:t>
      </w:r>
    </w:p>
    <w:p>
      <w:r>
        <w:t>FR: VD_GERICHTE PE22.010163 du 27 juin 2022</w:t>
      </w:r>
    </w:p>
    <w:p>
      <w:r>
        <w:t>IT: VD_GERICHTE PE22.010163 del 27 giugno 2022</w:t>
      </w:r>
    </w:p>
    <w:p>
      <w:pPr>
        <w:pStyle w:val="Heading2"/>
      </w:pPr>
      <w:r>
        <w:t>Erwägungen</w:t>
      </w:r>
    </w:p>
    <w:p>
      <w:r>
        <w:rPr>
          <w:b/>
        </w:rPr>
        <w:t>E. 4</w:t>
      </w:r>
    </w:p>
    <w:p>
      <w:r>
        <w:t>septembre 2022 (II), et a dit que les frais de l’ordonnance, par 600 fr., suivaient le sort de la cause (III). Le tribunal a retenu qu’il existait des soupçons suffisants de culpabilité pour justifier la mise en détention provisoire du prévenu. Il s’est à cet égard fondé sur le fait que son épouse Z.________ avait quitté le domicile conjugal avec ses enfants et s’était réfugiée dans un foyer pour femmes battues le 21 mai 2022, et que celle-ci avait produit au dossier des photographies et des vidéos, prises entre le 9 octobre 2018 et le 16 mai 2022, qui montraient des blessures sur son visage qu’elle a pu à chaque fois expliquer de manière circonstanciée. Il a en outre considéré que le risque de collusion était concret, estimant que, dès lors qu’il niait l’intégralité des faits, il fallait craindre que le prévenu prenne contact avec son épouse ou avec sa fille [...] – laquelle devait être prochainement entendue – afin de tenter de les intimider ou de faire modifier leurs versions. Le tribunal a aussi retenu l’existence d’un risque de réitération, U.________, condamné en 2012 pour tentative de meurtre, ayant déjà montré qu’il pouvait se révéler extrêmement violent et les faits reprochés étant en l’occurrence particulièrement graves. Enfin, il a relevé qu’aucune mesure de substitution n’était propre à prévenir efficacement la réalisation des risques constatés et qu’une durée de détention de trois mois était proportionnée aux opérations d’enquête à effectuer ainsi qu’à la peine susceptible d’être prononcée en cas de condamnation. C. Par acte du 20 juin 2022, U.________ a recouru auprès de la Chambre des recours pénale du Tribunal cantonal contre cette ordonnance, en concluant, avec suite de frais, à sa réforme en ce sens que sa libération, éventuellement assortie de règles de comportement à dire de justice et/ou de l’obligation du port d’un bracelet électronique, soit</w:t>
      </w:r>
    </w:p>
    <w:p>
      <w:r>
        <w:t>- 4 - ordonnée avec effet immédiat et, subsidiairement, que la détention provisoire soit ordonnée pour une durée n’excédant pas un mois, sa libération au-delà de cette date étant éventuellement assortie de règles de comportement à dire de justice et/ou de l’obligation du port d’un bracelet électronique. Il n’a pas été ordonné d’échange d’écritures. En d roit : 1. 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auprès de l’autorité compétente (art. 13 al. 1 LVCPP [Loi d’introduction du Code de procédure pénale suisse du 19 mai 2009 ; BLV 312.01] ; art. 80 al. 1 let. c LOJV [Loi d’organisation judiciaire du 12 décembre 1979 ; BLV 173.01]) et dans les formes prescrites (art. 385 al. 1 CPP), le recours d’U.________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3.</w:t>
      </w:r>
    </w:p>
    <w:p>
      <w:r>
        <w:t>- 5 - 3.1 Le recourant soutient que les soupçons de commission d’infractions à son encontre, bien qu’existants, ne seraient pas suffisants pour motiver une mise en détention provisoire. Il fait valoir que les moyens de preuve auraient été recueillis par son épouse elle-même, sans que le contexte dans lequel les photographies ont été prises puisse être reconstitué. En outre, si les premières photographies dataient réellement de 2018, il serait étonnant que son épouse lui reproche aujourd’hui des comportements graves qui remonteraient à plus de trois ans. Cela serait d’autant plus surprenant que Z.________ n’aurait pas été « parquée » au domicile familial comme elle le prétend et qu’elle aurait donc pu agir plus tôt. Le fait qu’elle souhaitait apparemment terminer sa formation avant d’entamer des démarches tendant à la séparation attesterait du caractère peu crédible de sa dénonciation. Compte tenu du fait que la relation conjugale serait perturbée, il conviendrait de toute manière d’être prudent dans l’appréciation d’éléments ne reposant que sur les allégations d’une des parties au conflit. 3.2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JdT 2018 IV 17 ; ATF 137 IV 122 consid. 3.2, JdT 2012 IV 79 ; TF 1B_88/2022 du 29 mars 2022 consid. 2.1 ; Chaix, op. cit., n. 6 ad art. 221 CPP). A l'instar du juge du séquestre, le juge de la détention n'est toutefois pas tenu, à ce stade de la procédure, de résoudre des questions juridiques complexes (ATF 141 IV 360 consid. 3.2 ; TF 1B_211/2017 du 27 juin 2017 consid. 2.1). Les</w:t>
      </w:r>
    </w:p>
    <w:p>
      <w:r>
        <w:t>- 6 -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consid. 2.1, JdT 2018 IV 39 ; ATF 137 IV 122 consid. 3.2 ; ATF 124 I 208 consid. 3 ; TF 1B_131/2022 du 25 mars 2022 consid. 3.1 ; Forster, in : Niggli/ Heer/Wiprächtiger [éd.], Basler Kommentar, Schweizerische Strafprozessordnung, 2e éd., Bâle 2014, n. 3 ad art. 221 CPP). 3.3 En l’espèce, les déclarations faites par Z.________ à l’appui de sa plainte sont particulièrement bien étayées, celle-ci ayant décrit de manière circonstanciée les actes de violence domestique dont elle aurait été victime. En particulier, pour chaque photographie produite, elle a pu fournir des explications détaillées en lien avec l’épisode immortalisé (PV aud. 1, R. 6), étant précisé que la plupart des images comportent une date, contrairement à ce que prétend le recourant (ibid., annexes). Les lésions présentées sont par ailleurs visibles sur ces photographies, bien que ces dernières soient de piètre qualité. Les allégations de la plaignante sont ainsi parfaitement crédibles. Il n’est par ailleurs pas rare que les victimes de violences conjugales ne dénoncent pas celles-ci immédiatement mais attendent au contraire plusieurs années avant de demander de l’aide. En l’occurrence, la plaignante a bien expliqué, d’une part, qu’elle s’était sentie « coincée », dans une ville qu’elle ne connaissait pas et dont elle ne parlait pas la langue (ibid., R. 12) et, d’autre part, qu’elle avait peur de son époux, qui proférait des menaces de mort à son encontre et à celui de leurs enfants et qu’elle croyait capable de passer à l’acte (ibid., R. 18 notamment). Dans un tel contexte, il n’y a rien de surprenant à ce que Z.________ ne se soit pas rendue immédiatement à la police pour dénoncer les faits. En définitive, à ce stade très précoce de l’enquête, les soupçons pesant à l’encontre du recourant sont largement suffisants pour justifier son placement en détention provisoire.</w:t>
      </w:r>
    </w:p>
    <w:p>
      <w:r>
        <w:t>- 7 -</w:t>
      </w:r>
    </w:p>
    <w:p>
      <w:r>
        <w:rPr>
          <w:b/>
        </w:rPr>
        <w:t>E. 4.1</w:t>
      </w:r>
    </w:p>
    <w:p>
      <w:r>
        <w:t>Le recourant conteste l’existence d’un risque de collusion. Il fait valoir qu’il ignorerait où Z.________ a trouvé refuge et qu’il est prêt à s’engager à ne pas le contacter, ni sa fille [...]. Il serait par ailleurs prêt à céder à son épouse la jouissance du domicile familial. Il relève encore qu’il n’y aurait aucun témoin à qui il pourrait chercher à s’adresser, ni de preuves qu’il pourrait vouloir faire disparaître, la police ayant déjà fouillé l’appartement. Le risque de collusion retenu serait ainsi abstrait et purement théorique.</w:t>
      </w:r>
    </w:p>
    <w:p>
      <w:r>
        <w:rPr>
          <w:b/>
        </w:rPr>
        <w:t>E. 4.2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JdT 2012 IV 79 ; ATF 132 I 21 consid. 3.2 et les réf. citées, JdT 2009 IV 52 ; TF 1B_132/2022 du 25 mars 2022 consid. 3.1 ; TF 1B_358/2021 du 16 juillet 2021 consid. 4.2).</w:t>
      </w:r>
    </w:p>
    <w:p>
      <w:r>
        <w:rPr>
          <w:b/>
        </w:rPr>
        <w:t>E. 4.3</w:t>
      </w:r>
    </w:p>
    <w:p>
      <w:r>
        <w:t>Dans le cas présent et contrairement à ce qu’argue le recourant, il n’est pas possible d’exclure que ce dernier parvienne, directement ou par personnes interposées, à prendre contact avec la plaignante. Compte tenu notamment des menaces qu’il semble avoir régulièrement proférées à l’encontre de son épouse, on peut sérieusement</w:t>
      </w:r>
    </w:p>
    <w:p>
      <w:r>
        <w:t>- 8 - craindre, en cas de mise en liberté, qu’il exerce des pressions sur Z.________ afin que celle-ci modifie sa position en procédure. De plus, l’enquête venant de débuter, on ignore si des tiers ont été confrontés de près ou de loin à la situation du couple, que cela soit dans l’entourage des parties ou dans le voisinage. Vu la gravité des faits reprochés et les antécédents du prévenu, il se justifie de prendre toutes les précautions nécessaires afin de préserver le bon déroulement de l’enquête. Il convient par ailleurs évidemment de protéger également les enfants de toute interférence de leur père à ce stade. Partant, c’est à juste titre que le Tribunal des mesures de contrainte a retenu l’existence d’un risque de collusion, qui doit être confirmée.</w:t>
      </w:r>
    </w:p>
    <w:p>
      <w:r>
        <w:rPr>
          <w:b/>
        </w:rPr>
        <w:t>E. 5.1</w:t>
      </w:r>
    </w:p>
    <w:p>
      <w:r>
        <w:t>Le recourant conteste également l’existence d’un risque de réitération. Il relève que la tentative de meurtre pour laquelle il a été condamné en 2012 ne serait pas intervenue dans le même contexte et que depuis, il n’aurait plus occupé les autorités pénales. On ne pourrait dès lors pas considérer qu’il présente actuellement une grave propension à la violence, ce d’autant plus que la réitération présupposerait qu’il a commis les actes reprochés dans le cadre de la présente enquête, ce qui n’est pas établi.</w:t>
      </w:r>
    </w:p>
    <w:p>
      <w:r>
        <w:rPr>
          <w:b/>
        </w:rPr>
        <w:t>E. 5.2.1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JdT 2020 IV 264 ; ATF 143 IV 9 consid. 2.5 ; TF 1B_176/2022 du 21 avril 2022 consid. 3.1).</w:t>
      </w:r>
    </w:p>
    <w:p>
      <w:r>
        <w:t>- 9 -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JdT 2011 IV 95). Le risque de récidive peut également se fonder sur les infractions faisant l'objet de la procédure pénale en cours, si le prévenu est fortement soupçonné – avec une probabilité confinant à la certitude – de les avoir commises (ATF 146 IV 326 consid. 3.1 et les arrêts cités ; ATF 143 IV 9 consid. 2.3.1 ; TF 1B_176/2022 du 21 avril 2022 consid. 3.1). La notion d’antécédent vise l’ensemble des éléments qui forment l’histoire de l’auteur au moment de l’infraction et ne se limite ainsi pas aux antécédents judiciaires (Dupuis et al. [éd.], Petit Commentaire, Code pénal, 2e éd., Bâle 2017, nn. 4 et 5 ad art. 47 CP et les réf. citées).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146 IV 326 consid. 3.1 ; ATF 143 IV 9 consid. 2.6 et 2.7 ; TF 1B_176/2022 du 21 avril 2022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 ATF 137 IV 84 consid. 3.2,</w:t>
      </w:r>
    </w:p>
    <w:p>
      <w:r>
        <w:t>- 10 - JdT 2011 IV 325 ; TF 1B_176/2022 du 21 avril 2022 consid. 3.1 ; TF 1B_234/2021 du 21 mai 2021 consid. 2.1).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 ATF 143 IV 9 consid. 2.9 ; TF 1B_88/2022 du 29 mars 2022 consid. 3.1).</w:t>
      </w:r>
    </w:p>
    <w:p>
      <w:r>
        <w:rPr>
          <w:b/>
        </w:rPr>
        <w:t>E. 5.2.2</w:t>
      </w:r>
    </w:p>
    <w:p>
      <w:r>
        <w:t>L'art. 221 al. 2 CPP permet par ailleurs d'ordonner la détention lorsqu'il y a lieu de craindre un passage à l'acte, même en l'absence de toute infraction préalable. Il doit s'agir d'un crime grave et non seulement d'un délit (ATF 137 IV 122 consid. 5 ; TF 1B_587/2020 du 10 décembre 2020 consid. 3.2).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JdT 2015 IV 32 ; ATF 137 IV 122 consid. 5). Plus l'infraction redoutée est grave, plus la mise en détention se justifie lorsque les éléments disponibles ne permettent pas une évaluation précise de ce risque (ATF 140 IV 19 consid. 2.1.1 ; TF 1B_587/2020 du 10 décembre 2020 consid. 3.1 et 3.2). La doctrine mentionne expressément que des menaces au sens de l’art. 180 CP (Code pénal suisse du 21 décembre</w:t>
      </w:r>
    </w:p>
    <w:p>
      <w:r>
        <w:t>- 11 - 1937 ; RS 311.0) puissent être déterminantes au sens de l’art. 221 al. 2 CPP (Forster, op. cit., n. 18 ad art. 221 CPP, avec n. infrapaginale 77).</w:t>
      </w:r>
    </w:p>
    <w:p>
      <w:r>
        <w:rPr>
          <w:b/>
        </w:rPr>
        <w:t>E. 5.3</w:t>
      </w:r>
    </w:p>
    <w:p>
      <w:r>
        <w:t>En l’occurrence, le recourant minimise la gravité de sa condamnation antérieure, qui portait sur une tentative de meurtre et qui dénote donc une propension à la violence évidente. En outre, on ignore à ce stade pour quels motifs le traitement ambulatoire qui avait été ordonné lors de sa condamnation a été interrompu. Or, il n’est pas impossible que le recourant souffre de troubles psychiques qui pourraient l’empêcher de contrôler un éventuel débordement de violence. Cet aspect devra être investigué. Le grave antécédent du recourant doit ainsi bien être pris en compte et apporte un éclairage particulier sur les faits dénoncés par Z.________, le contexte étant manifestement de nature à faire craindre de nouveaux actes de violence de la part du prévenu dans l’hypothèse où il se retrouverait en présence de son épouse et/ou de ses enfants. L’existence d’un risque de récidive doit dès lors être confirmée. On ajoutera que de toute manière, au vu des déclarations – crédibles – de la plaignante faisant état de menaces de mort régulières, on doit également admettre, dans ce contexte particulier, l’existence d’un risque de passage à l’acte.</w:t>
      </w:r>
    </w:p>
    <w:p>
      <w:r>
        <w:rPr>
          <w:b/>
        </w:rPr>
        <w:t>E. 6.1</w:t>
      </w:r>
    </w:p>
    <w:p>
      <w:r>
        <w:t>Le recourant conteste qu’aucune mesure de substitution ne soit susceptible de prévenir efficacement la réalisation des risques qui seraient constatés. Il déclare expressément accepter le port d’un bracelet électronique et soutient qu’il se conformera à toute règle de comportement qui pourrait lui être imposée durant l’enquête. Il invoque au demeurant que, si la détention provisoire devait être maintenue, sa durée ne devrait pas être supérieure à un mois, compte tenu de la seule mesure d’instruction évoquée par le Ministère public, qui consiste en l’audition de l’enfant [...].</w:t>
      </w:r>
    </w:p>
    <w:p>
      <w:r>
        <w:rPr>
          <w:b/>
        </w:rPr>
        <w:t>E. 6.2</w:t>
      </w:r>
    </w:p>
    <w:p>
      <w:r>
        <w:t>En vertu du principe de la proportionnalité ancré à l'art. 36 al. 3 Cst. (Constitution fédérale de la Confédération suisse du 18 avril 1999 ; RS 101), l'autorité doit tenter autant que possible de substituer à la</w:t>
      </w:r>
    </w:p>
    <w:p>
      <w:r>
        <w:t>- 12 -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145 IV 503 consid. 3.1 ; ATF 142 IV 367 consid. 2.1). L'art. 212 al. 3 CPP prévoit que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Le juge peut dès lors maintenir la détention provisoire ou pour des motifs de sûreté aussi longtemps qu'elle n'est pas très proche de la durée de la peine privative de liberté à laquelle il faut s'attendre concrètement en cas de condamnation (ATF 143 IV 168 consid. 5.1 ; ATF 139 IV 270 consid. 3.1 et les arrêts cités ; TF 1B_23/2019 du 28 janvier 2019 consid. 2.1).</w:t>
      </w:r>
    </w:p>
    <w:p>
      <w:r>
        <w:rPr>
          <w:b/>
        </w:rPr>
        <w:t>E. 6.3</w:t>
      </w:r>
    </w:p>
    <w:p>
      <w:r>
        <w:t>En l’espèce et comme l’admet lui-même U.________ dans son recours, un bracelet électronique ne permettrait pas un contrôle en temps réel, mais uniquement de constater un éventuel passage à l’acte a posteriori. Vu les considérations qui précèdent, une telle mesure n’apparaît manifestement pas suffisante. Le fait que le recourant se soit montré calme et coopératif durant ses auditions, comme il le fait valoir, n’y change rien, vu la gravité des actes reprochés. Il n’existe par ailleurs aucune autre mesure de substitution propre à pallier les risques constatés, comme l’a constaté le premier juge. L’appréciation du Tribunal des mesures de contrainte quant au respect du principe de la proportionnalité au regard de la durée de la</w:t>
      </w:r>
    </w:p>
    <w:p>
      <w:r>
        <w:t>- 13 - détention provisoire ordonnée doit enfin être confirmée, l’enquête venant de débuter et de nombreuses vérifications devant encore être entreprises. La durée de trois mois se révèle pour le reste largement inférieure à la peine susceptible d’être prononcée en cas de condamnation.</w:t>
      </w:r>
    </w:p>
    <w:p>
      <w:r>
        <w:rPr>
          <w:b/>
        </w:rPr>
        <w:t>E. 7</w:t>
      </w:r>
    </w:p>
    <w:p>
      <w:r>
        <w:t>Il résulte de ce qui précède que le recours, manifestement mal fondé, doit être rejeté sans échange d’écritures (art. 390 al. 2 CPP) et l’ordonnance entreprise confirmée. Les frais de la procédure de recours, constitués de l’émolument d’arrêt, par 1'320 fr. (art. 20 al. 1 TFIP [Tarif des frais de procédure et indemnités en matière pénale du 28 septembre 2010 ; BLV 312.03.1]), et des frais imputables à la défense d’office (art. 422 al. 1 et 2 let. a CPP), fixés à 450 fr. (2 heures et 30 minutes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9 fr., plus la TVA, par 35 fr. 35, soit à 495 fr. au total en chiffres arrondis, seront mis à la charge du recourant, qui succombe (art. 428 al. 1, 1re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5 juin 2022 est confirmée. III. L’indemnité allouée au défenseur d’office d’U.________ est fixée à 495 fr. (quatre cent nonante-cinq francs).</w:t>
      </w:r>
    </w:p>
    <w:p>
      <w:r>
        <w:t>- 14 - IV. Les frais d’arrêt, par 1'320 fr. (mille trois cent vingt francs), ainsi que l’indemnité due au défenseur d’office d’U.________, par 495 fr. (quatre cent nonante-cinq francs), sont mis à la charge de ce dernier. V. Le remboursement à l’Etat de l’indemnité allouée au chiffre III ci-dessus ne sera exigible que pour autant que la situation financière d’U.________ le permette. VI. L’arrêt est exécutoire. La présidente : La greffière : Du Le présent arrêt, dont la rédaction a été approuvée à huis clos, est notifié, par l'envoi d'une copie complète, à : - Me Inès Feldmann, avocate (pour U.________), - Ministère public central, et communiqué à : - Mme la Présidente ad hoc du Tribunal des mesures de contrainte, - M. le Procureur de l’arrondissement de Lausanne, - Service de la population, - Me Roxane Chauvet-Mingard, avocate (pour Z.________), sous forme de dispositif, par l’envoi de photocopies. Le présent arrêt peut faire l'objet d'un recours en matière pénale devant le Tribunal fédéral au sens des art. 78 ss LTF (Loi sur le Tribunal fédéral du 17 juin 2005 ; RS 173.110). Ce recours doit être</w:t>
      </w:r>
    </w:p>
    <w:p>
      <w:r>
        <w:t>- 15 -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