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PE22.010108 vom 26. April 2023</w:t>
      </w:r>
    </w:p>
    <w:p>
      <w:r>
        <w:t>VD Tribunal cantonal, 2023-04-26, FR</w:t>
      </w:r>
    </w:p>
    <w:p>
      <w:r>
        <w:rPr>
          <w:b/>
        </w:rPr>
        <w:t xml:space="preserve">Quelle: </w:t>
      </w:r>
      <w:r>
        <w:t>https://mcp.opencaselaw.ch/entscheid/vd_gerichte_PE22.010108</w:t>
      </w:r>
    </w:p>
    <w:p>
      <w:r>
        <w:t>FR: VD_GERICHTE PE22.010108 du 26 avril 2023</w:t>
      </w:r>
    </w:p>
    <w:p>
      <w:r>
        <w:t>IT: VD_GERICHTE PE22.010108 del 26 aprile 2023</w:t>
      </w:r>
    </w:p>
    <w:p>
      <w:pPr>
        <w:pStyle w:val="Heading2"/>
      </w:pPr>
      <w:r>
        <w:t>Erwägungen</w:t>
      </w:r>
    </w:p>
    <w:p>
      <w:r>
        <w:rPr>
          <w:b/>
        </w:rPr>
        <w:t>E. 4</w:t>
      </w:r>
    </w:p>
    <w:p>
      <w:r>
        <w:t>L’appelant ne conteste pas explicitement la peine infligée, soit une peine privative de liberté de six ans. Il convient toutefois de l’examiner d’office.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w:t>
      </w:r>
    </w:p>
    <w:p>
      <w:r>
        <w:t>- 22 - consid. 1.1.2 ; TF 6B_984/2020 du 4 mars 2021 consid. 3.1 ; TF 6B_776/2019 du 20 novembre 2019 consid. 4.1).</w:t>
      </w:r>
    </w:p>
    <w:p>
      <w:r>
        <w:rPr>
          <w:b/>
        </w:rPr>
        <w:t>E. 4.2</w:t>
      </w:r>
    </w:p>
    <w:p>
      <w:r>
        <w:t>En l’espèce, la culpabilité de l’appelant telle que retenue par les premiers juges est intégralement confirmée. Il s’est ainsi rendu coupable de nombreux actes d'ordre sexuel et de quinze viols à l’encontre de C.________ alors âgée de 11 à 14 ans (cf. ch. 2.1 supra), de remise à des enfants de substances pouvant mettre en danger leur santé (cf. ch. 2.2 supra), de pornographie (cf. ch. 2.3 supra), de deux viols (cf. ch. 2.5 supra) et d’actes d’ordre sexuels à l’encontre de N.________ qui était alors âgée de 15 ans (cf. 2.6 supra) et enfin de conduite sans autorisation (cf. ch. 2.7 supra). La culpabilité de V.________ est particulièrement lourde. Il s'en est pris de façon gravissime à trois jeunes filles de très jeune âge. Il a fait preuve d'une absence totale de scrupule pour satisfaire ses pulsions sexuelles. Il s'en est pris à sa deuxième victime, N.________, juste après sa rupture avec une compagne dont il a eu deux garçons. Ses aveux partiels et tardifs ne dénotent pas d'une réelle prise de conscience. Il a persisté à nier les faits les plus graves encore à l’audience d’appel et alors que les infractions n’étaient plus contestées. Il y a une disproportion évidente des forces entre lui, 35 ans, expérimenté, et ses victimes, âgées de maximum 15 ans. Il y a concours dès lors que V.________ est en particulier reconnu coupable d'au moins 15 viols sur C.________ et de deux viols sur N.________. La Cour de céans considère que les agissements sexuels envers C.________ sont les plus graves. Le premier viol, mérite à lui seul une peine de deux ans et demi. La réitération des actes justifie une peine supplémentaire de deux ans, alors que les contraintes sexuelles doivent être sanctionnées par six mois et la pornographie par trois mois. Viennent ensuite les deux viols commis sur une autre victime, qui doivent être sanctionnés, par l'effet du concours, de deux ans pour le premier, la réitération de l’acte justifiant une peine supplémentaire de un an. La contrainte sexuelle commise à l'encontre de Z.________ doit</w:t>
      </w:r>
    </w:p>
    <w:p>
      <w:r>
        <w:t>- 23 - être sanctionnée par six mois supplémentaires. Ainsi, les seules infractions sexuelles justifient une peine supérieure à 8 ans. Devraient encore être sanctionnées la pornographie, la mise à disposition de substances nocives et l’infraction à la LCR. Au vu de l’interdiction de la reformatio in pejus, la Cour d’appel pénale se dispense de comptabiliser l’ensemble des peines supplémentaires qu’il eut fallu additionner et souligne l’extrême clémence dont a pu bénéficier l’appelant, sans y adhérer. Il convient ainsi de confirmer la peine privative de liberté de six ans prononcée par les premiers juges.</w:t>
      </w:r>
    </w:p>
    <w:p>
      <w:r>
        <w:rPr>
          <w:b/>
        </w:rPr>
        <w:t>E. 5</w:t>
      </w:r>
    </w:p>
    <w:p>
      <w:r>
        <w:t>L’appelant ne conteste pas la mesure d’expulsion du territoire suisse prononcée à son encontre pour une durée de 12 ans, ni l’interdiction faite à vie d’exercer toute activité professionnelle et non professionnelle organisée impliquant des contacts réguliers avec des mineurs. Ces mesures seront dès lors confirmées.</w:t>
      </w:r>
    </w:p>
    <w:p>
      <w:r>
        <w:rPr>
          <w:b/>
        </w:rPr>
        <w:t>E. 6.1</w:t>
      </w:r>
    </w:p>
    <w:p>
      <w:r>
        <w:t>Conformément à l’art. 51 CP, la détention subie depuis le jugement de première instance sera déduite de la peine privative de liberté prononcée.</w:t>
      </w:r>
    </w:p>
    <w:p>
      <w:r>
        <w:rPr>
          <w:b/>
        </w:rPr>
        <w:t>E. 6.2</w:t>
      </w:r>
    </w:p>
    <w:p>
      <w:r>
        <w:t>Pour garantir l’exécution de la peine et de l’expulsion et au vu notamment du risque de fuite présenté par l’intéressé, le maintien de l’appelant en détention pour des motifs de sûreté doit être ordonné.</w:t>
      </w:r>
    </w:p>
    <w:p>
      <w:r>
        <w:rPr>
          <w:b/>
        </w:rPr>
        <w:t>E. 7</w:t>
      </w:r>
    </w:p>
    <w:p>
      <w:r>
        <w:t>En définitive, l’appel de V.________ doit être rejeté et le jugement entrepris intégralement confirmé. Me Rachel Rytz, défenseur d’office de V.________, a produit une liste d’opération (P. 143) faisant état d’une activité nécessaire d’avocat de 9.6 heures, ce qui peut être admis au vu des écritures et de la nature du dossier. Au tarif de 180 fr. applicable à l’avocat breveté (cf. art. 2 al. 1 let.</w:t>
      </w:r>
    </w:p>
    <w:p>
      <w:r>
        <w:t>- 24 - a RAJ [règlement sur l’assistance judiciaire en matière civile ; BLV 211.02.3]), les honoraires s’élèvent à 1'780 fr., montant auxquels s’ajoutent des débours forfaitaires, par 34 fr. 55, une vacation de 120 fr. et la TVA sur le tout, par 144 fr. 95. C’est ainsi une indemnité d’office de 2'027 fr. 50 qui sera allouée à Me Rytz pour la procédure d’appel. Il n’y a en outre pas lieu de s’écarter de la liste d’opérations produite par Me Dorothée Raynaud, conseil d’office de la plaignante C.________ (P. 144) alléguant avoir consacré 9 heures à ce mandat. Au tarif horaire de 180 fr., les honoraires s’élèvent à 1'620 fr., auxquels s’ajoutent les débours forfaitaires, par 32 fr. 40, une vacation de 120 fr. et la TVA sur le tout, par 136 fr. 45. L’indemnité d’office allouée à Me Raynaud pour la procédure d’appel s’élève ainsi à 1'908 fr. 85. Vu l'issue de la cause, les frais de la procédure d'appel, par 6'396 fr. 35, constitués de l’émolument de jugement et d’audience, par 2’460 fr. (art. 21 al. 1 et 2 TFIP [tarif des frais de procédure et indemnités en matière pénale du 28 septembre 2010 ; BLV 312.03.1]), de l’indemnité allouée à son défenseur d’office, par 2'027 fr. 50 et de l’indemnité due au conseil d’office, par 1'908 fr. 85,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