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PE22.009804 vom 13. September 2024</w:t>
      </w:r>
    </w:p>
    <w:p>
      <w:r>
        <w:t>VD Tribunal cantonal, 2024-09-13, FR</w:t>
      </w:r>
    </w:p>
    <w:p>
      <w:r>
        <w:rPr>
          <w:b/>
        </w:rPr>
        <w:t xml:space="preserve">Quelle: </w:t>
      </w:r>
      <w:r>
        <w:t>https://mcp.opencaselaw.ch/entscheid/vd_gerichte_PE22.009804</w:t>
      </w:r>
    </w:p>
    <w:p>
      <w:r>
        <w:t>FR: VD_GERICHTE PE22.009804 du 13 septembre 2024</w:t>
      </w:r>
    </w:p>
    <w:p>
      <w:r>
        <w:t>IT: VD_GERICHTE PE22.009804 del 13 settembre 2024</w:t>
      </w:r>
    </w:p>
    <w:p>
      <w:pPr>
        <w:pStyle w:val="Heading2"/>
      </w:pPr>
      <w:r>
        <w:t>Erwägungen</w:t>
      </w:r>
    </w:p>
    <w:p>
      <w:r>
        <w:rPr>
          <w:b/>
        </w:rPr>
        <w:t>E. 1.1</w:t>
      </w:r>
    </w:p>
    <w:p>
      <w:r>
        <w:t>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est recevable.</w:t>
      </w:r>
    </w:p>
    <w:p>
      <w:r>
        <w:rPr>
          <w:b/>
        </w:rPr>
        <w:t>E. 1.2</w:t>
      </w:r>
    </w:p>
    <w:p>
      <w:r>
        <w:t>Dès lors que l’appel ne porte que sur la question de l’octroi d’une indemnités au sens de l’art. 433 CPP à la partie plaignante, la procédure écrite est applicable d’office (art. 406 al. 1 let. d CPP). 13J005</w:t>
      </w:r>
    </w:p>
    <w:p>
      <w:r>
        <w:t>- 4 -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w:t>
      </w:r>
    </w:p>
    <w:p>
      <w:r>
        <w:rPr>
          <w:b/>
        </w:rPr>
        <w:t>E. 3.1</w:t>
      </w:r>
    </w:p>
    <w:p>
      <w:r>
        <w:t>L’appelante fait valoir qu’elle a requis, par courrier du 24 juillet 2024, l’allocation d’une indemnité au sens de l’art. 433 CPP d’un montant de 7'029 fr. 05, courrier incluant la liste des opérations des honoraires de son conseil, et que le premier juge a omis de statuer sur cette prétention.</w:t>
      </w:r>
    </w:p>
    <w:p>
      <w:r>
        <w:rPr>
          <w:b/>
        </w:rPr>
        <w:t>E. 3.2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13J005</w:t>
      </w:r>
    </w:p>
    <w:p>
      <w:r>
        <w:t>- 5 -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 pour la défense du point de vue de la partie plaignante (cf. TF 6B_1333/2022 du 2 octobre 2023 consid. 4.1).</w:t>
      </w:r>
    </w:p>
    <w:p>
      <w:r>
        <w:rPr>
          <w:b/>
        </w:rPr>
        <w:t>E. 3.3</w:t>
      </w:r>
    </w:p>
    <w:p>
      <w:r>
        <w:t>En l’espèce, l’appelante a raison. L’intimé a été condamné et a reconnu être le débiteur des conclusions civiles formées dans la cadre de la procédure de première instance, de sorte qu’une indemnité au sens de l’art. 433 CPP aurait dû être allouée à la plaignante. Le montant qu’elle a requis, soit 7'029 fr. 05, apparaissant raisonnable, il lui sera accordé à la charge du prévenu. Le montant réclamé à titre de dépens de deuxième instance apparaît également raisonnable. Il doit être mis à la charge de l’intimé (art. 428 al. 1 et 433 al. 1 CPP).</w:t>
      </w:r>
    </w:p>
    <w:p>
      <w:r>
        <w:rPr>
          <w:b/>
        </w:rPr>
        <w:t>E. 4</w:t>
      </w:r>
    </w:p>
    <w:p>
      <w:r>
        <w:t>En définitive, l’appel doit être admis et le jugement entrepris modifié dans le sens du considérant qui précède. Vu l’issue de la cause, les frais de la procédure d’appel, par 550 fr., constitués de l’émolument de jugement, (art. 21 al. 1 TFIP [tarif des frais de procédure et indemnités en matière pénale du 28 septembre 2010 ; BLV 312.03.1]), seront exceptionnellement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