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PE22.009743 vom 17. Juni 2022</w:t>
      </w:r>
    </w:p>
    <w:p>
      <w:r>
        <w:t>VD Tribunal cantonal, 2022-06-17, FR</w:t>
      </w:r>
    </w:p>
    <w:p>
      <w:r>
        <w:rPr>
          <w:b/>
        </w:rPr>
        <w:t xml:space="preserve">Quelle: </w:t>
      </w:r>
      <w:r>
        <w:t>https://mcp.opencaselaw.ch/entscheid/vd_gerichte_PE22.009743</w:t>
      </w:r>
    </w:p>
    <w:p>
      <w:r>
        <w:t>FR: VD_GERICHTE PE22.009743 du 17 juin 2022</w:t>
      </w:r>
    </w:p>
    <w:p>
      <w:r>
        <w:t>IT: VD_GERICHTE PE22.009743 del 17 giugno 2022</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- 5 -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 ATF 143 IV 9 consid. 2.5 ; TF 1B_176/2022 du 21 avril 2022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w:t>
      </w:r>
    </w:p>
    <w:p>
      <w:r>
        <w:t>- 6 - de les avoir commises (ATF 146 IV 326 précité ; ATF 143 IV 9 précité consid. 2.3.1 ; TF 1B_176/2022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w:t>
      </w:r>
    </w:p>
    <w:p>
      <w:r>
        <w:t>- 7 - 136 consid. 2.2 ; ATF 143 IV 9 précité consid. 2.9 ; TF 1B_88/2022 du 29 mars 2022 consid. 3.1). S’agissant plus spécifiquement des infractions contre le patrimoine, la jurisprudence du Tribunal fédéral délimite strictement les conditions pour détenir provisoirement un prévenu en raison de l’existence d’un risque de réitération (ATF 146 IV 136 précité ; TF 1B _112/2020 du 20 mars 2020 consid. 3 ; TF 1B_43/2020 du 14 février 2020 consid. 2). Ainsi, lorsque sont redoutées des infractions contre le patrimoine à la suite desquelles les lésés pourraient être particulièrement touchés, respectivement atteints de manière similaire à une infraction réalisée avec des actes de violence, une atteinte grave à la sécurité doit être admise et le risque de récidive peut ainsi entrer en considération pour ordonner la détention provisoire. Lors de cette appréciation, les circonstances d'espèce sont déterminantes (ATF 146 IV 136 précité).</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3.3</w:t>
      </w:r>
    </w:p>
    <w:p>
      <w:r>
        <w:t>S’il peut être donné acte au recourant que ses antécédents ne portent pas sur des infractions du même genre que celles qui font l’objet de la présente procédure, il n’en demeure pas moins que ses deux précédentes condamnations n’ont manifestement pas suffi à le dissuader de commettre de nouvelles infractions. Les faits qui lui sont reprochés – et qu’il a au demeurant admis – sont en outre graves ; à cet égard, s’il ne semble effectivement pas avoir été particulièrement violent (cf. PV aud. 1), il n’a tout de même pas hésité à brandir et à planter sur le comptoir un couteau doté d’une lame de 12,5 centimètres. Il importe par ailleurs peu à ce stade de savoir s’il a agi pour financer sa consommation, comme l’a retenu le premier juge, ou par pur appât du gain dans un moment de détresse. On trouve en effet dans tous les cas la raison de son passage à l’acte dans sa situation personnelle précaire, le recourant étant endetté, bénéficiaire du revenu d’insertion après avoir émargé au chômage entre 2010 et 2011 et consommateur de stupéfiants (cf. PV aud. 3), et force est de constater que cette situation demeurera inchangée en cas de libération.</w:t>
      </w:r>
    </w:p>
    <w:p>
      <w:r>
        <w:t>- 8 - Ainsi, même si les infractions figurant au casier judiciaire du recourant sont d’une autre nature que celles qui font l’objet de la procédure en cause et que celui-ci a exprimé des regrets, seul un pronostic défavorable quant à son comportement futur peut être émis à ce stade, compte tenu de la gravité des faits qui lui sont reprochés et des circonstances dans lesquels ils ont été commis. Il résulte de ces éléments que le risque de réitération présenté par le prévenu est à ce stade suffisamment important et concret pour justifier son placement en détention provisoire, l’intérêt public devant l’emporter sur son intérêt à être libéré.</w:t>
      </w:r>
    </w:p>
    <w:p>
      <w:r>
        <w:rPr>
          <w:b/>
        </w:rPr>
        <w:t>E. 4.1</w:t>
      </w:r>
    </w:p>
    <w:p>
      <w:r>
        <w:t>Le recourant soutient, dans sa conclusion subsidiaire, que des mesures de substitution, comme l’obligation de justifier d’un suivi auprès d’un Centre social, seraient suffisantes pour pallier le risque de réitération retenu.</w:t>
      </w:r>
    </w:p>
    <w:p>
      <w:r>
        <w:rPr>
          <w:b/>
        </w:rPr>
        <w:t>E. 4.2.1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w:t>
      </w:r>
    </w:p>
    <w:p>
      <w:r>
        <w:t>- 9 -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w:t>
      </w:r>
    </w:p>
    <w:p>
      <w:r>
        <w:rPr>
          <w:b/>
        </w:rPr>
        <w:t>E. 4.2.2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ATF 139 IV 270 précité).</w:t>
      </w:r>
    </w:p>
    <w:p>
      <w:r>
        <w:rPr>
          <w:b/>
        </w:rPr>
        <w:t>E. 4.3</w:t>
      </w:r>
    </w:p>
    <w:p>
      <w:r>
        <w:t>La Chambre de céans considère que la mesure de substitution proposée par le recourant n’est pas susceptible de prévenir efficacement le risque de récidive constaté. En effet, en tant que bénéficiaire du revenu d’insertion, le recourant bénéficiait déjà d’un suivi auprès d’un centre social au moment des faits, de sorte que l’obligation de justifier d’un tel suivi ne saurait constituer une mesure de substitution adéquate. On ne discerne par ailleurs aucune autre mesure à même de pallier valablement le risque retenu.</w:t>
      </w:r>
    </w:p>
    <w:p>
      <w:r>
        <w:t>- 10 - Pour le surplus, le recourant s’expose concrètement, au regard des faits qui lui sont reprochés, à une peine d’une durée nettement supérieure à la période de détention provisoire qu’il a subie à ce jour, respectivement qu’il aura subie le 28 août 2022, de sorte que le principe de la proportionnalité est pleinement respecté (art. 212 al. 3 CPP ; ATF 143 IV 168 précité). En effet, le brigandage est une infraction parmi les plus graves du Code pénal et est passible, lorsqu’il est perpétré au moyen d’une arme dangereuse, d’une peine privative de liberté d’un an au moins.</w:t>
      </w:r>
    </w:p>
    <w:p>
      <w:r>
        <w:rPr>
          <w:b/>
        </w:rPr>
        <w:t>E. 5</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F.________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1’100 fr. (art. 20 al. 1 TFIP), et des frais imputables à la défense d’office de F.________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- 11 - Par ces motifs, la Chambre des recours pénale prononce : I. Le recours est rejeté. II. L’ordonnance du 31 mai 2022 est confirmée. III. L’indemnité allouée au défenseur d’office de F.________ est fixée à 396 fr. (trois cent nonante-six francs). IV. Les frais d’arrêt, par 1’100 fr. (mille cent francs), ainsi que l’indemnité due au défenseur d’office du recourant, par 396 fr. (trois cent nonante-six francs), sont mis à la charge de F.________. V. Le remboursement à l’Etat de l’indemnité allouée au chiffre III ci-dessus ne sera exigible que pour autant que la situation financière de F.________ le permette VI. L’arrêt est exécutoire. La présidente : La greffière : Du Le présent arrêt, dont la rédaction a été approuvée à huis clos, est notifié, par l'envoi d'une copie complète, à : - Me Jean-Marc Courvoisier, avocat (pour F.________), - Ministère public central,</w:t>
      </w:r>
    </w:p>
    <w:p>
      <w:r>
        <w:t>- 12 - et communiqué à : - Mme la Présidente du Tribunal des mesures de contrainte, - Mme la Procureure de l’arrondissement de Lausanne, - Mme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