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PE22.009742 vom 11. Juli 2022</w:t>
      </w:r>
    </w:p>
    <w:p>
      <w:r>
        <w:t>VD Tribunal cantonal, 2022-07-11, FR</w:t>
      </w:r>
    </w:p>
    <w:p>
      <w:r>
        <w:rPr>
          <w:b/>
        </w:rPr>
        <w:t xml:space="preserve">Quelle: </w:t>
      </w:r>
      <w:r>
        <w:t>https://mcp.opencaselaw.ch/entscheid/vd_gerichte_PE22.009742</w:t>
      </w:r>
    </w:p>
    <w:p>
      <w:r>
        <w:t>FR: VD_GERICHTE PE22.009742 du 11 juillet 2022</w:t>
      </w:r>
    </w:p>
    <w:p>
      <w:r>
        <w:t>IT: VD_GERICHTE PE22.009742 del 11 luglio 2022</w:t>
      </w:r>
    </w:p>
    <w:p>
      <w:pPr>
        <w:pStyle w:val="Heading2"/>
      </w:pPr>
      <w:r>
        <w:t>Erwägungen</w:t>
      </w:r>
    </w:p>
    <w:p>
      <w:r>
        <w:rPr>
          <w:b/>
        </w:rPr>
        <w:t>E. 1.1</w:t>
      </w:r>
    </w:p>
    <w:p>
      <w:r>
        <w:t>Les parties peuvent attaquer un mandat de perquisition rendu par le Ministère public (art. 241 et 393 al. 1 let. a CPP ; Chirazi, in : Kuhn/Jeanneret/Perrier Depeursinge [éd.], Commentaire romand, Code de procédure pénale suisse [CR CPP], 2e éd., Bâle 2019, n. 53 ad art. 241 CPP ; CREP 19 décembre 2016/861 consid. 1) dans les dix jours devant l’autorité de recours (art. 396 al. 1 CPP ; cf. art. 20 al. 1 let. b CPP) qui est, dans le canton de Vaud, la Chambre des recours pénale du Tribunal cantonal (art. 13 LVCPP [loi vaudoise d’introduction du Code de procédure pénale suisse ; BLV 312.01] ; art. 80 LOJV [loi vaudoise d’organisation judiciaire ; BLV 173.01]).</w:t>
      </w:r>
    </w:p>
    <w:p>
      <w:r>
        <w:t>- 4 -</w:t>
      </w:r>
    </w:p>
    <w:p>
      <w:r>
        <w:rPr>
          <w:b/>
        </w:rPr>
        <w:t>E. 1.2</w:t>
      </w:r>
    </w:p>
    <w:p>
      <w:r>
        <w:t>En l’espèce, les recours ont été interjetés en temps utile devant l’autorité compétente et ils satisfont aux conditions de forme posées par l’art. 385 al. 1 CPP. Les moyens soulevés et les questions à trancher étant identiques, il y a lieu de traiter les deux recours simultanément.</w:t>
      </w:r>
    </w:p>
    <w:p>
      <w:r>
        <w:rPr>
          <w:b/>
        </w:rPr>
        <w:t>E. 2.1</w:t>
      </w:r>
    </w:p>
    <w:p>
      <w:r>
        <w:t>Selon l'art. 382 al. 1 CPP,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w:t>
      </w:r>
    </w:p>
    <w:p>
      <w:r>
        <w:t>- 5 - L’existence d'un intérêt actuel est niée lorsque la mesure de contrainte – dont la perquisition – a été exécutée (cf. TF 1B_30/2022 du 27 avril 2022 consid. 1 ; plus spécifiquement : TF 1B_550/2021 du 13 janvier 2022 consid. 3.2 et les références citées ; cf. ég. ATF 139 I 206 consid. 1.2, RDAF 2014 I 445 ; ATF 136 I 274, JdT 2010 IV 153 ; Sträuli, CR CPP, op. cit., nn. 11, 12 et 16 ad art. 393 CPP ; Keller, in : Donatsch/Lieber/Sumers/Wohlers [éd.], Kommentar zur Strafprozessordnung, 3e éd., Zurich 2020, n. 36 ad art. 393 CPP et les références citées). Selon la doctrine, dans cette hypothèse, un intérêt à la constatation de l'illicéité de la mesure effectuée peut cependant entrer en considération (Keller, op. cit., n. 36 ad art. 393 CPP ; Gfeller, in : Niggli/Heer/Wiprächtiger [édit.], Basler Kommentar, Schweizerische Strafprozessordnung, 2e éd., Bâle 2014, nn. 59 s. ad rem. prél. art. 241- 254 CPP). Dans son arrêt du 13 janvier 2022 (TF 1B_550/2021 précité consid. 3.1.2), le Tribunal fédéral a encore précisé ce qui suit : « (…)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l'insuffisance des soupçons laissant présumer une infraction (cf. art. 197 al. 1 let. b CPP), l'absence de pertinence des objets et/ou documents séquestrés pour la procédure pénale, la violation du principe de proportionnalité (cf. art. 197 al. 1 let. c CPP) et/ou l'illicéité de l'ordre de perquisition, puisqu'il n'est en principe pas admissible de pouvoir présenter au cours d'une procédure pénale des preuves obtenues de manière illicite (cf. art. 139 et 141 CPP; ATF 143 IV 270 consid. 6-7; arrêts 1B_275/2020 du 22 septembre 2020 consid. 3.1.2; 1B_134/2018 du 24 septembre 2018 consid. 2.1; 1B_394/2017 du 17 janvier 2018 consid. 3.1 non publié in ATF 144 IV 74; 1B_360/2013 du 24 mars 2014 consid. 2.2). La voie du recours de l'art. 393 CPP n'entre dès lors en ligne de compte que si les griefs soulevés ne concernent aucun intérêt</w:t>
      </w:r>
    </w:p>
    <w:p>
      <w:r>
        <w:t>- 6 -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1B_275/2020 du 22 septembre 2020 consid. 3.1.2; 1B_351/2016 du 16 novembre 2016 consid. 1.3; 1B_360/2013 du 24 mars 2014 consid. 2.2 et les arrêts cités). »</w:t>
      </w:r>
    </w:p>
    <w:p>
      <w:r>
        <w:rPr>
          <w:b/>
        </w:rPr>
        <w:t>E. 2.2</w:t>
      </w:r>
    </w:p>
    <w:p>
      <w:r>
        <w:t>En l’espèce, le recourant soutient notamment que les mesures ordonnées s’apparentent à une fishing expedition – par quoi on entend une recherche indéterminée de moyens de preuve sans rapport avec la ou les infractions en cause (Moreillon/Parein-Reymond, Petit Commentaire, Code de procédure pénale, Bâle 2013, nn. 6 ad art. 241 CPP et les références citées) – et qu’elles ne sont pas conformes au principe de proportionnalité. Or, il n’est pas contesté que les mandats de perquisition attaqués ont débouché sur une procédure de mise sous scellés, sur requête du recourant telle que formulée lors des perquisitions et réitérée le 3 juin 2022 (P. 5/1 et 6/1). L’intéressé a ainsi choisi la voie de la mise sous scellés, procédure qui lui permet de faire vérifier par une autorité judiciaire non seulement ses griefs en lien avec un intérêt juridiquement protégé au maintien des secrets au sens de l’art. 248 al. 1 CPP, mais également d’invoquer ses objections accessoires telles que la violation du principe de proportionnalité et/ou l’illicéité de l’ordre de perquisition, dite procédure ayant pour effet de paralyser l’exécution de la perquisition des documents, enregistrements et autres objets visés, ceux-ci ne pouvant dès lors être ni examinés, ni exploités par l’autorité pénale (art. 248 al. 1 in fine CPP; ATF 144 IV 74, précité, consid. 2.2, JdT 2018 IV 170, spéc. 173; Chirazi, CR CPP, op. cit., nn. 6 et 7 ad art. 248 CPP). Dans ces conditions, et conformément à l’arrêt précité du Tribunal fédéral (1B_550/2021 consid. 3.4), on ne voit pas quel était l’intérêt actuel et pratique du recourant au moment de déposer ses recours le 7 juin 2022. Quoi qu’il en soit, et toujours selon les termes du Tribunal fédéral dans ledit arrêt (consid. 3.4), l’existence d’une telle procédure de mise sous scellés, qui a abouti en l’occurrence à une mise sous scellés le 9 juin 2022, permet de considérer que l’entrée en matière sur un recours au sens de l’art. 393 al.</w:t>
      </w:r>
    </w:p>
    <w:p>
      <w:r>
        <w:t>- 7 - 1 let. a CPP ne saurait se justifier indépendamment d’un intérêt actuel et pratique (cf. art. 382 al. 1 CPP précité), qui fait ici défaut, comme on vient de le voir. En outre et comme indiqué ci-avant (cf. consid. 2.1 in fine), la voie du recours n’entre en ligne de compte que si les griefs soulevés ne concernent aucun intérêt juridiquement protégé au maintien du secret protégé par les scellés, ce qui n’est pas le cas en l’espèce. En tout état de cause, force est de relever que le recourant n’a pas requis la constatation de l’illicéité des mandats de perquisition qui ont été exécutés, de sorte qu’un intérêt à une telle constatation n’entre pas non plus en considération.</w:t>
      </w:r>
    </w:p>
    <w:p>
      <w:r>
        <w:rPr>
          <w:b/>
        </w:rPr>
        <w:t>E. 3</w:t>
      </w:r>
    </w:p>
    <w:p>
      <w:r>
        <w:t>Il résulte de ce qui précède que les recours doivent être déclarés irrecevables sans échange d’écritures (art. 390 al. 2 CPP). Les frais de la procédure de recours, constitués du seul émolument d’arrêt, par 770 fr. (art. 20 al. 1 TFIP [tarif des frais judiciaires de procédure et indemnités en matière pénale du 28 septembre 2010; BLV 312.03.1]), seront mis à la charge du recourant, qui succombe (art. 428 al. 1 CPP). Par ces motifs, la Chambre des recours pénale prononce : I. Les recours sont irrecevables. II. Les frais de la procédure de recours, par 770 fr. (sept cent septante francs), sont mis à la charge de V.________. III. L’arrêt est exécutoire.</w:t>
      </w:r>
    </w:p>
    <w:p>
      <w:r>
        <w:t>- 8 - La présidente : Le greffier : Du Le présent arrêt, dont la rédaction a été approuvée à huis clos, est notifié, par l'envoi d'une copie complète, à : - Me Hüsnü Yilmaz, avocat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