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PE22.009591 vom 9. April 2024</w:t>
      </w:r>
    </w:p>
    <w:p>
      <w:r>
        <w:t>VD Tribunal cantonal, 2024-04-09, FR</w:t>
      </w:r>
    </w:p>
    <w:p>
      <w:r>
        <w:rPr>
          <w:b/>
        </w:rPr>
        <w:t xml:space="preserve">Quelle: </w:t>
      </w:r>
      <w:r>
        <w:t>https://mcp.opencaselaw.ch/entscheid/vd_gerichte_PE22.009591</w:t>
      </w:r>
    </w:p>
    <w:p>
      <w:r>
        <w:t>FR: VD_GERICHTE PE22.009591 du 9 avril 2024</w:t>
      </w:r>
    </w:p>
    <w:p>
      <w:r>
        <w:t>IT: VD_GERICHTE PE22.009591 del 9 aprile 2024</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Bien que dirigé contre une décision de la direction de la procédure d’un tribunal de première instance, le recours portant sur un refus de l’exécution anticipée de la peine est néanmoins recevable, dès lors qu’une telle décision touche les droits fondamentaux du prévenu et qu’elle est susceptible de lui causer un préjudice irréparable (CREP 15 septembre 2023/755 consid. 1.1 ; CREP 25 octobre 2022/784 consid. 1.1 ; CREP 30 avril 2021/412 consid. 1.1 ; CREP 16 octobre 2020/804 consid. 1 ; CREP 28 février 2014/160 consid. 1 ; cf. aussi Moreillon/Parein-Reymond, Petit commentaire du Code de procédure pénale, 2e éd., Bâle 2016, n. 17 ad art. 393 CPP). Pour le reste, le recours a été interjeté en temps utile (art. 396 al. 1 CPP), dans les formes prescrites (art. 385 al. 1 CPP), auprès de l’autorité compétente et par une partie qui a la qualité pour recourir (art. 382 al. 1 CPP). Il est donc recevable.</w:t>
      </w:r>
    </w:p>
    <w:p>
      <w:r>
        <w:rPr>
          <w:b/>
        </w:rPr>
        <w:t>E. 2</w:t>
      </w:r>
    </w:p>
    <w:p>
      <w:r>
        <w:t>- 5 -</w:t>
      </w:r>
    </w:p>
    <w:p>
      <w:r>
        <w:rPr>
          <w:b/>
        </w:rPr>
        <w:t>E. 2.1</w:t>
      </w:r>
    </w:p>
    <w:p>
      <w:r>
        <w:t>Le recourant invoque notamment une violation de son droit d’être entendu en relation avec le défaut de motivation du prononcé qu’il allègue.</w:t>
      </w:r>
    </w:p>
    <w:p>
      <w:r>
        <w:rPr>
          <w:b/>
        </w:rPr>
        <w:t>E. 2.2.1</w:t>
      </w:r>
    </w:p>
    <w:p>
      <w:r>
        <w:t>Selon l'art. 236 al. 1 CPP, dans sa teneur en vigueur dès le 1er janvier 2024,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(art. 236 al. 4 CPP, également dans sa teneur en vigueur dès le 1er janvier 2024).</w:t>
      </w:r>
    </w:p>
    <w:p>
      <w:r>
        <w:rPr>
          <w:b/>
        </w:rPr>
        <w:t>E. 2.2.2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409 consid. 5.3.4 ; ATF 147 IV 249 consid. 2.4 ; ATF 146 IV 297 consid. 2.2.7). Dès lors qu’on peut discerner les motifs qui ont guidé la décision de l’autorité, le droit à une décision motivée est respecté, même si la</w:t>
      </w:r>
    </w:p>
    <w:p>
      <w:r>
        <w:t>- 6 - motivation présentée est erronée (ATF 141 V 557 consid. 3.2.1 ; TF 6B_40/2023 du 8 janvier 2024 consid. 2.1).</w:t>
      </w:r>
    </w:p>
    <w:p>
      <w:r>
        <w:rPr>
          <w:b/>
        </w:rPr>
        <w:t>E. 2.3</w:t>
      </w:r>
    </w:p>
    <w:p>
      <w:r>
        <w:t>En l’espèce, force est de constater que le prononcé attaqué se limite à relever que la demande d’exécution anticipée de la peine privative de liberté n’est pas compatible avec l’état de la procédure. Une telle mention ne permet pas au destinataire du prononcé de comprendre les motifs qui ont mené l’autorité à rejeter la demande présentée le 21 février 2024. Partant, le prévenu ne peut se rendre compte de la portée de la décision prise à son égard et l’attaquer en connaissance de cause, notamment au regard des exigences prévues par l’art. 236 CPP. Il y a ainsi eu violation du droit d’être entendu. Le dossier de la cause doit donc être retourné au Président du Tribunal d’arrondissement de Lausanne pour qu’il statue, par la voie d’un prononcé brièvement motivé, sur la demande d’exécution anticipée de la peine privative de liberté présentée par le recourant le 21 février 2024.</w:t>
      </w:r>
    </w:p>
    <w:p>
      <w:r>
        <w:rPr>
          <w:b/>
        </w:rPr>
        <w:t>E. 3</w:t>
      </w:r>
    </w:p>
    <w:p>
      <w:r>
        <w:t>En définitive, le recours doit être admis et le dossier de la cause renvoyé au Président du Tribunal d’arrondissement de Lausanne pour qu’il procède dans le sens des considérants qui précèdent. Au vu de la nature de l’affaire et du mémoire du recours produit, l’indemnité allouée au défenseur d’office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L’indemnité s’élève ainsi à 596 fr. au total en chiffres arrondis. Vu le sort du recours, les frais de la procédure, constitués en l’espèce de l’émolument d'arrêt, par 660 fr. (art. 20 al. 1 TFIP), ainsi que</w:t>
      </w:r>
    </w:p>
    <w:p>
      <w:r>
        <w:t>- 7 - des frais imputables à la défense d’office (art. 422 al. 1 et 2 let. a CPP), seront laissés à la charge de l’Etat (art. 428 al. 4 CPP). Par ces motifs, la Chambre des recours pénale prononce : I. Le recours est admis. II. Le dossier de la cause est renvoyé au Président du Tribunal d’arrondissement de Lausanne pour qu’il procède dans le sens des considérants. III. L’indemnité allouée au défenseur d’office de P.________ est fixée à 596 fr. (cinq cent nonante-six francs). IV. Les frais d’arrêt, par 660 fr. (six cent soixante francs), ainsi que l’indemnité due au défenseur d’office de P.________, par 596 fr. (cinq cent nonante-six francs), sont laissés à la charge de l’Etat. V. L’arrêt est exécutoire. Le président : Le greffier : Du Le présent arrêt, dont la rédaction a été approuvée à huis clos, est notifié, par l'envoi d'une copie complète, à : - Me Félicien Monnier, avocat (pour P.________), - Ministère public central ;</w:t>
      </w:r>
    </w:p>
    <w:p>
      <w:r>
        <w:t>- 8 - et communiqué à : - M. le Président du Tribunal d’arrondissement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