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PE22.009525 vom 27. November 2024</w:t>
      </w:r>
    </w:p>
    <w:p>
      <w:r>
        <w:t>VD Tribunal cantonal, 2024-11-27, FR</w:t>
      </w:r>
    </w:p>
    <w:p>
      <w:r>
        <w:rPr>
          <w:b/>
        </w:rPr>
        <w:t xml:space="preserve">Quelle: </w:t>
      </w:r>
      <w:r>
        <w:t>https://mcp.opencaselaw.ch/entscheid/vd_gerichte_PE22.009525</w:t>
      </w:r>
    </w:p>
    <w:p>
      <w:r>
        <w:t>FR: VD_GERICHTE PE22.009525 du 27 novembre 2024</w:t>
      </w:r>
    </w:p>
    <w:p>
      <w:r>
        <w:t>IT: VD_GERICHTE PE22.009525 del 27 novembre 2024</w:t>
      </w:r>
    </w:p>
    <w:p>
      <w:pPr>
        <w:pStyle w:val="Heading2"/>
      </w:pPr>
      <w:r>
        <w:t>Erwägungen</w:t>
      </w:r>
    </w:p>
    <w:p>
      <w:r>
        <w:rPr>
          <w:b/>
        </w:rPr>
        <w:t>E. 22</w:t>
      </w:r>
    </w:p>
    <w:p>
      <w:r>
        <w:t>avril 2021 consid. 5.2 ; TF 6B_1254/2019 précité consid. 8.1 et l'arrêt cité).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Selon la jurisprudence, un texte doit être analysé non seulement en fonction des expressions utilisées, prises séparément, mais aussi selon le sens général qui se dégage du texte dans son ensemble (ATF 137 IV 313 consid. 2.1.3). 5.3.9 En l’espèce, il convient d’emblée de constater que l’appelant doit être libéré du chef de l’infraction d’injure en lien avec le cas 8, cette infraction ne se poursuivant que sur plainte et la plainte déposée par X.________ au nom de son fils étant irrecevable. S’agissant des cas 6 et 9, le premier juge s’est fondé sur les déclarations constantes de X.________, ainsi que sur le témoignage de son frère, W.________. A nouveau, il n’y a pas lieu de s’écarter de cette appréciation. En effet, s’il n’y a pas de preuve stricte, s’agissant d’une infraction commise à l’abri des regards et des oreilles, le faisceau d’indices est à nouveau suffisant (cf. supra ch. 5.3.6). On relèvera que la plaignante a fait part de paroles attentatoires à l’honneur à l’Unité de médecine des violences, qu’elle a confirmé ses allégations lors des débats et que son</w:t>
      </w:r>
    </w:p>
    <w:p>
      <w:r>
        <w:t>- 29 - frère a mentionné plusieurs exemples de violences verbales auxquelles il a assisté, envers sa sœur et son neveu. Ainsi, l’appelant aurait notamment proclamé à son épouse : « tu es bête », « tu n’as rien dans la tête » et « tu n’as que l’intelligence de l’école » (cf. jgmt, pp. 4-5). Ce témoignage est crédible, W.________ n’ayant pas accablé le prévenu, indiquant qu’il n’avait pas assisté à des violences physiques à l’encontre de sa sœur (ibid., p. 4). Enfin, contrairement à ce que fait valoir l’appelant, l’extrait du JEP ne le disculpe pas, au contraire, puisqu’il en ressort que : « les deux personne (sic) ne parvenant pas à discuter comme des gens civilisés (…) » (P. 11, p. 2), ce dont on doit déduire que le ton est monté. Dès lors que l’ensemble du dossier révèle que l’appelant est susceptible de proférer des injures et des menaces, il n’y a pas de raison de douter que tel a également été le cas le 29 mai 2022. Il n’appartenait en outre pas à la plaignante d’en faire part à la police, dès lors que les agents avaient été appelés à une autre fin, à savoir permettre au prévenu de récupérer ses affaires et que, quoi qu’il en soit, ils avaient assisté à tout le moins à des incivilités. Ainsi, comme retranscrit dans l’acte d’accusation, l’appelant a bien traité l’intimée de « salope », « sale pute », « incapable », « minable médecin » et « cochon d’Inde ». Il s’agit de jugements de valeur offensants, respectivement d’injures formelles. Ainsi, la condamnation de M.________ pour injure, en lien avec les cas 6 et 9 doit être confirmée, tous les éléments constitutifs de l’art. 177 al. 1 aCP étant réunis. En revanche, il doit être libéré du chef de cette infraction en lien avec le cas 8. L’appel doit donc être admis sur ce point. 5.3.10 L’appelant conteste encore que les éléments objectifs constitutifs de l’infraction de contrainte soient réunis (cas 7 de l’acte d’accusation). Il relève que l’enfant K.________ n’a pas été entendu dans le cadre de l’instruction et qu’aucun élément ne permettrait d’établir qu’il aurait exercé une certaine pression sur lui ou qu’il l’aurait menacé d’un dommage sérieux. 5.3.11 Se rend coupable de contrainte au sens de l'art. 181 aCP, dans sa teneur au 30 juin 2023, celui qui, en usant de violence envers une</w:t>
      </w:r>
    </w:p>
    <w:p>
      <w:r>
        <w:t>- 30 -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106 IV 125 consid. 2a ; plus récemment, TF 6B_1238/2023 du 21 mars 2024 consid. 1.1) ni que l'auteur ait réellement la volonté de réaliser sa menace (ATF 105 IV 120 consid. 2 ; TF 6B_1238/2023 précité consid. 1.1).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Sur le plan subjectif, il faut que l’auteur ait agi intentionnellement, c’est-à-dire qu’il ait voulu contraindre la victime à adopter le comportement visé en étant conscient de l’illicéité de son comportement ; le dol éventuel suffit (ATF 120 IV 17 consid. 2 c) 5.3.12 En l’espèce, le message WhatsApp que K.________ a envoyé à sa mère, dont la teneur est la suivante (sic) : « C les audio que papa m’a dit de lui faire maman je suis dans la merde la » (P. 5/5) est dépourvu de toute ambiguïté. Comme l’a retenu le premier juge, le fait que l’enfant se dise spontanément « dans la merde » démontre qu’il ne s’agit pas d’un message pour faire plaisir à sa mère.</w:t>
      </w:r>
    </w:p>
    <w:p>
      <w:r>
        <w:t>- 31 - Après avoir procédé à l’écoute de ces messages vocaux, la Cour constate que le discours de l’enfant n’est pas spontané, donnant l’impression qu’il lit un texte. Les messages vocaux interviennent de surcroît à un moment de la procédure en mesures protectrices de l’union conjugale qui divise les parties, où l’appelant a besoin de preuves en sa faveur à produire au juge. D’ailleurs, l’appelant a lui-même exposé qu’il avait demandé à K.________ de faire un message vocal « pour rétablir la vérité », après avoir reçu la requête de mesures protectrices et superprotectrices de l’union conjugale (jgmt, pp. 16-17). Enfin, il ressort du témoignage de W.________ (jgmt, pp. 4-5) que les méthodes éducatives de l’appelant sont bien celles décrites par K.________ dans les messages vocaux, si bien qu’on ne discerne pas pour quel motif celui-ci se serait rétracté s’il n’y avait pas été contraint. L’appelant ayant de manière générale adopté des comportements agressifs envers la plaignante et à tout le moins dénigrants envers son fils, il ne fait aucun doute que K.________ s’est exécuté par peur de représailles. Partant, le moyen est mal fondé et la condamnation de M.________ pour contrainte, en lien avec le cas 7 de l’acte d’accusation doit être confirmée, tous les éléments constitutifs objectifs et subjectifs de cette infraction étant réalisés. 5.4 Au vu de l’ensemble des considérations qui précèdent, la condamnation de l’appelant pour lésions corporelles simples qualifiées au sens de l’art. 123 ch. 1 et 2 al. 3 aCP, injure au sens de l’art. 177 al. 1 aCP, menaces qualifiées au sens de l’art. 180 al. 1 et 2 let. a aCP et contrainte au sens de l’art. 181 aCP, doit être confirmée. Le dispositif envoyé aux parties mentionnant par erreur les nouvelles dispositions du Code pénal, ainsi que l’art. 122 ch. 2 al. 3 CP au lieu de l’art. 123 ch. 1 et 2 al. 3 aCP sera rectifié d’office en ce sens (art. 83 CPP). Il sera également complété à son chiffre II, l’appelant étant également libéré du chef de prévention de lésions corporelles simples qualifiées pour le cas 1 de l’acte d’accusation.</w:t>
      </w:r>
    </w:p>
    <w:p>
      <w:r>
        <w:t>- 32 - 6. 6.1 L’appelant conclut au rejet des conclusions civiles de X.________ et K.________. Il fait valoir que l’intimée n’avait pas produit de document médical permettant d’établir ses « souffrances » et qu’elle avait admis ne pas être suivie. 6.2 Aux termes de l'art. 47 CO, le juge peut, compte tenu des circonstances particulières, allouer à la victime de lésions corporelles ou, en cas de mort d'homme,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132 II 117 consid. 2.2.2 ; ATF 130 III 699 consid. 5.1, JdT 2006 I 193 ; ATF 129 IV 22 consid. 7.2, JdT 2006 IV 182 ; ATF 127 IV 215 consid. 2a, JdT 2003 IV 129 ; ATF 125 III 412 consid. 2a, JdT 2006 IV 118 ; ATF 123 III 306 consid. 9b p. 315, JdT 1998 127 ; ATF 118 II 404 consid. 3b/aa, JdT 1993 I 736 ; cf. aussi ATF 141 III 97 consid. 11.2).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(TF 6B_1335/2021 du 21 décembre 2022 consid. 2.2.1 et les réf. citées ; voir aussi ATF 141 III 97 consid. 11.2 ; ATF 132 II 117 consid. 2.2.2, déjà cités). 6.3 Dans le cas particulier, X.________ a subi un dénigrement constant depuis le début de son mariage avec l’appelant, fait l’objet à réitérées reprises d’injures et de menaces, et a reçu des coups, le 22</w:t>
      </w:r>
    </w:p>
    <w:p>
      <w:r>
        <w:t>- 33 - février 2022, de la part de son époux, lui occasionnant plusieurs ecchymoses, une tuméfaction, une dermabrasion au niveau du membre supérieur droit, ainsi qu’une ecchymose et une dermabrasion au niveau du membre inférieur droit (P. 5/1). Aux débats, elle a déclaré avoir ressenti des douleurs pendant quatre mois et avoir eu « la peur de sa vie » (jgmt, p. 11). Elle se sentait par ailleurs toujours en insécurité et particulièrement coupable, eu égard à sa profession de pédopsychiatre, de n’avoir pas pu faire face aux agissements de son mari et de n’être parfois pas intervenue pour défendre son fils, K.________, ce que ce dernier lui a reproché. Elle a ajouté se sentir en colère, démunie et impuissante (jgmt, p. 14). Au regard de la souffrance physique et psychologique subie par la plaignante, l’allocation d’un montant de 3'000 fr., avec intérêt à 5 % l’an depuis le 1er septembre 2019, en réparation du tort moral se justifie pleinement. En revanche, les conclusions civiles prises par X.________ au nom de son fils K.________, sont irrecevables, la plaignante ne disposant pas de la qualité pour le représenter (cf. supra consid. 2.3). L’appel doit également être admis dans cette mesure. 7. 7.1 L’appelant étant libéré de l’infraction d’injure (cas 8 de l’acte d’accusation), il y a lieu de revoir la peine prononcée à son encontre. 7.2 7.2.1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w:t>
      </w:r>
    </w:p>
    <w:p>
      <w:r>
        <w:t>- 34 -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 7.2.3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 ATF 144 IV 217, JdT 2018 IV 335 ; TF 6B_796/2024 précité).</w:t>
      </w:r>
    </w:p>
    <w:p>
      <w:r>
        <w:t>- 35 -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7.2.4 Aux termes de l’art. 34 CP, sauf disposition contraire, la peine pécuniaire est de trois jours-amende au moins et ne peut excéder 180 jours-amende. Le juge fixe leur nombre en fonction de la culpabilité de l’auteur. 7.2.5 A teneur de l'art. 42 al. 1 CP, le juge suspend en règle générale l'exécution d'une peine pécuniaire ou d'une peine privative de liberté de deux ans au plus lorsqu'une peine ferme ne paraît pas nécessaire pour détourner l'auteur d'autres crimes ou délits. 7.3 En l’espèce, le premier juge a retenu que la culpabilité de l’appelant était lourde. A charge, le magistrat a relevé que les faits couvraient une période de presque trois ans, entre l’été 2019 et fin mai 2022, que le prévenu s’en était pris à sa femme et à son fils, s’attaquant à l’honneur, la liberté et l’intégrité corporelle de la première, ainsi qu’à la liberté du second, notamment. Il avait fait régner un climat lourd dans son foyer, n’hésitant pas à rabaisser sa femme et à humilier son fils en public, en présence d’autres membres de la famille. Au moment de la séparation, il n’avait pas non plus hésité à impliquer son fils, lui faisant enregistrer des messages audios prétendument favorables et accentuant le conflit de loyauté de celui-ci. Le comportement du prévenu en cours de procédure était également un élément à charge, ayant présenté certaines explications farfelues et n’ayant fait preuve d’aucune prise de conscience, estimant que sa femme n’avait pas souffert durant le mariage et mettant</w:t>
      </w:r>
    </w:p>
    <w:p>
      <w:r>
        <w:t>- 36 - la faute sur l’ingérence de sa belle-famille. Il n’y avait pas d’élément à décharge. Là encore, cette appréciation ne prête pas le flanc à la critique et doit être confirmée. La peine pécuniaire d’ensemble de 180 jours- amende – soit 70 jours-amende pour les lésions corporelles simples qualifiées, augmentée de 60 jours-amende pour les menaces qualifiées, 30 jours-amende pour la contrainte et 20 jours-amende pour les injures – à hauteur de 30 fr. le jour, fixée par le premier juge sanctionne adéquatement le comportement délictueux de M.________, même libéré s’agissant du cas 8 de l’acte d’accusation, et la quotité du jour-amende correspond à sa situation personnelle et financière. Le prévenu répond aux conditions du sursis dès lors qu’il s’agit d’un primo-délinquant. Dans ces circonstances, le pronostic n’apparaît pas défavorable compte tenu de l’effet que la présente condamnation doit entraîner, de sorte que le sursis peut être accordé au prévenu et le délai d’épreuve fixé au minimum légal de 2 ans (art. 44 al. 1 CP). Son absence de prise de conscience commande toutefois le prononcé d’une sanction immédiate. C’est donc à raison que le premier juge a infligé à M.________ une amende de 1’380 fr. à titre de sanction immédiate (art. 42 al. 4 CP), le prévenu ne s’étant pas remis en question et s’étant contenté de nier les faits jusqu’en appel. La quotité de l’amende, qui tient compte de la situation personnelle et économique du prévenu est adéquate et peut être confirmée. Il en va de même de la peine privative de liberté de substitution en cas de non-paiement fautif fixée à 46 jours. 8. L’appelant ayant été libéré du chef d’accusation d’injure en lien avec le cas 8 de l’acte d’accusation et ayant eu gain de cause sur la moitié des conclusions civiles allouées en première instance, il n’y a pas lieu de modifier la répartition des frais de première instance faite par le premier juge.</w:t>
      </w:r>
    </w:p>
    <w:p>
      <w:r>
        <w:t>- 37 - 9. En définitive, l’appel de M.________ doit être partiellement admis, le jugement de première instance étant modifié dans le sens des considérants qui précèdent. Me Charles Munoz, défenseur d’office de M.________, a produit une liste d’opérations (P. 65) faisant état de 10h55 d’activité d’avocat et d’une vacation, débours et TVA en sus. Le temps allégué est adéquat, de sorte que l’indemnité requise de 2'296 fr. 35, correspondant à 10h55 d’activité d’avocat au tarif horaire de 180 fr., par 1965 fr., à des débours forfaitaires à hauteur de 2 % des honoraires (art. 3bis RAJ (règlement sur l’assistance judiciaire en matière civile du 7 décembre 2010 ; BLV 211.02.3), applicable par renvoi de l’art. 26b TFIP (tarif des frais de procédure et indemnités en matière pénale du 28 septembre 2010 ; BLV 312.03.1), par 39 fr. 30, à une vacation à 120 fr., et à la TVA au taux de 8,1 %, par 172 fr. 05, sera allouée à Me Charles Munoz pour la procédure d’appel. Me Manuela Ryter Godel, conseil juridique de X.________, a produit une liste des opérations faisant état de 6h10 d’activité d’avocate pour la procédure d’appel (P. 66). Tenant compte d’1h10 d’audience, ce temps d’activité sera réduit de 50 minutes pour correspondre au temps effectif de celle-ci. Ainsi, les honoraires s’élèvent à 1'497 fr. 50 (5h20 x 300 fr. (art. 2 al. 1 let. a et b RAJ, par renvoi de l'art. 26b TFIP, auxquels s’ajoutent les débours forfaitaires à hauteur de 2 % par 32 fr. (art. 3bis al. 1 RAJ), des frais de vacation par 120 fr. et la TVA au taux de 8,1 % sur le tout, par 141 fr. 90. L’indemnité complète fondée sur l’art. 433 CPP s’élève donc à 1'892 fr. 90. Compte tenu de l’issue de l’appel, elle sera toutefois réduite d’un cinquième et donc allouée à Me Manuela Ryter Godel à hauteur de 1'514 fr. 10, à charge de l’appelant. Le dispositif notifié aux parties contenant une erreur de calcul s’agissant de cette indemnité, sera rectifié d’office sur ce point (art. 83 CPP). Vu l’issue de la cause, les frais de la procédure d’appel, constitués en l’espèce de l’émolument de jugement, par 3’670 fr. (art. 21 al. 1 TFIP [Tarif des frais de procédure et indemnités en matière pénale du</w:t>
      </w:r>
    </w:p>
    <w:p>
      <w:r>
        <w:t>- 38 - 28 septembre 2010 ; BLV 312.03.1]), et de l’indemnité arrêtée en faveur du défenseur d’office de l’appelant, par 2'296 fr. 35, seront mis à raison de quatre cinquièmes à la charge de M.________, le solde étant laissé à la charge de l’Etat. M.________ sera tenu de rembourser à l’Etat les quatre cinquièmes de l’indemnité en faveur de son conseil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