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PE22.009323 vom 8. März 2025</w:t>
      </w:r>
    </w:p>
    <w:p>
      <w:r>
        <w:t>VD Tribunal cantonal, 2025-03-08, FR</w:t>
      </w:r>
    </w:p>
    <w:p>
      <w:r>
        <w:rPr>
          <w:b/>
        </w:rPr>
        <w:t xml:space="preserve">Quelle: </w:t>
      </w:r>
      <w:r>
        <w:t>https://mcp.opencaselaw.ch/entscheid/vd_gerichte_PE22.009323</w:t>
      </w:r>
    </w:p>
    <w:p>
      <w:r>
        <w:t>FR: VD_GERICHTE PE22.009323 du 8 mars 2025</w:t>
      </w:r>
    </w:p>
    <w:p>
      <w:r>
        <w:t>IT: VD_GERICHTE PE22.009323 del 8 marzo 2025</w:t>
      </w:r>
    </w:p>
    <w:p>
      <w:pPr>
        <w:pStyle w:val="Heading2"/>
      </w:pPr>
      <w:r>
        <w:t>Erwägungen</w:t>
      </w:r>
    </w:p>
    <w:p>
      <w:r>
        <w:rPr>
          <w:b/>
        </w:rPr>
        <w:t>E. 9</w:t>
      </w:r>
    </w:p>
    <w:p>
      <w:r>
        <w:t>du dossier (ic).</w:t>
      </w:r>
    </w:p>
    <w:p>
      <w:r>
        <w:t>- 8 - Par mandat de comparution du 30 janvier 2024, le Ministère public a convoqué A.________ à une audience devant se dérouler à Vevey le 15 mars 2024. Le 12 février 2024, le prévenu l’a informé qu’il serait représenté par l’un de ses deux avocats lors de l’audience du 15 mars 2024 ; il a requis également qu’E.________ soit entendu et ce, le même jour que le plaignant. Le pli contenant le mandat de comparution n’a pas été retiré par son destinataire et il est venu en retour le 14 février 2024. Le Ministère public n’a toutefois pas renvoyé ledit mandat, ni ne l’a fait notifier d’une autre manière. Par mandat du 21 février 2024, le Ministère public a convoqué E.________ à une audience du 15 mars 2024. Par courriel du 5 mars 2024, ce dernier a informé le Ministère public qu’il souffrait des conséquences d’un infarctus cérébral et qu’il n’était pas en mesure de se déplacer ; il a produit un certificat médical. Il ne ressort pas du dossier que le Ministère public ait dispensé ce témoin de comparaître ou ait annulé les deux auditions prévues en raison du fait que le plaignant A.________ n’avait pas été atteint par le mandat de comparution décerné contre lui et que le témoin E.________ avait annoncé qu’il ne se présenterait pas. De fait, l’avocat du prévenu s’est déplacé depuis Genève et s’y est présenté, inutilement ; de même, l’interprète s’est présentée, inutilement. Le 22 mars 2024, le prévenu, par son défenseur, a écrit au Ministère public pour faire suite à l’audience du 15 mars 2024, au cours de laquelle les deux personnes convoquées ne s’étaient pas présentées. Il a relevé que la « violation » par A.________ du mandat de comparution du 30 janvier 2024 démontrait qu’il se désintéressait complètement de la procédure, conformément à son retrait de plainte du 16 novembre 2020 ; cette renonciation valait renonciation de son statut de partie plaignante conformément à l’art. 120 CPP. Il relevait que, conformément à son</w:t>
      </w:r>
    </w:p>
    <w:p>
      <w:r>
        <w:t>- 9 - audition devant la police lucernoise, exploitable uniquement à décharge, A.________ avait reconnu avoir apposé lui-même les signatures qui figuraient sur les documents d’assurance litigieux. Il en a déduit qu’aucun élément objectif ne justifiait la poursuite de la procédure ; il a donc invité le Ministère public à rendre un avis de prochaine clôture. Dans l’hypothèse où le Ministère public devait soutenir que l’instruction n’était pas complète ou que les conditions d’un classement ne devaient pas être remplies, il a déclaré maintenir ses réquisitions des 6 juillet et 30 octobre 2024. Dans cette optique, il précisait que, compte tenu de sa non-comparution inexcusée, A.________ devait se voir infliger une amende (i), que comme il n’avait plus le statut de partie plaignante, il devrait être entendu en qualité de témoin (ii), que dans la mesure où celui-ci semblait avoir des antécédents pénaux, il demandait la production au dossier d’un extrait de son casier judiciaire (iii), que le certificat médical produit par E.________ ne mentionnait qu’une incapacité d’une durée d’un mois, jusqu’au 31 mars 2024, de sorte qu’il pouvait être entendu après cette date (iv) et, enfin, qu’il s’en remettait à l’appréciation du Ministère public sur le point de savoir si les auditions d’A.________ devaient avoir lieu à Vevey ou par voie de commission rogatoire par les autorités lucernoises, étant précisé que, dans cette dernière hypothèse, il souhaitait en être informé suffisamment à l’avance (vi). Le 10 juin 2024, le Ministère public a adressé au prévenu, par son défenseur, un avis de prochaine clôture, avec un délai au 18 juin 2024 pour formuler d’éventuelles réquisitions. Par acte du 18 juin 2024, le prévenu, par son défenseur, a informé le Ministère public qu’il n’entendait pas formuler de réquisitions de preuve et qu’il concluait à l’allocation d’une indemnité au sens de l’art. 429 al. 1 let. a CPP d’un montant total de 14'552 fr. 51 (14'199 fr. 81 à titre d’indemnité, plus 322 fr. 70 de débours) ; il faisait valoir que le recours à un avocat était raisonnable, la procédure portant sur les infractions de faux et d’escroquerie, que la procédure avait duré quatre ans et qu’elle avait impliqué une activité, pour ses deux avocats, d’une durée totalisant 43,9 heures selon un récapitulatif annexé – pas au dossier</w:t>
      </w:r>
    </w:p>
    <w:p>
      <w:r>
        <w:t>- 10 - – comprenant la préparation de sept lettres (y compris la présente) et d’une audience qui n’avait finalement pas eu lieu ; s’agissant d’une affaire d’une difficulté moyenne, il considérait le tarif horaire de 300 fr. comme adéquat ; pour l’activité déployée jusqu’au 31 décembre 2023 (30,8 heures), la TVA devrait être décomptée au taux de 7,7 % et, pour le solde (13,1 heures) au taux de 8,1 %. Quant aux débours, ils comprenaient les frais de consultation du dossier (3 x 50 fr.), d’envoi du dossier en retour (6 fr. 30, 6 fr. 30 et 12 fr.), d’envoi des sept correspondances (46 fr. 10), et des frais de déplacement de l’un des avocats à l’audience du 15 mars 2024, qui ne s’était pas tenue (billet de train aller-retour). B. Par ordonnance du 16 août 2024, le Ministère public a prononcé le classement de la procédure pénale dirigée contre U.________ pour escroquerie et faux dans les titres (I), a dit qu’il n’y avait pas lieu d’octroyer à U.________ une indemnité au sens de l’article 429 al. 1 let. a CPP (II) et a laissé les frais de procédure à la charge de l’Etat. La procureure a motivé comme suit le classement : « Contacté plusieurs fois par courrier (P. 7 et 8) afin qu’il confirme l’exactitude des éléments invoqués par Me Gianluca MASTRO, A.________ n’a pas répondu, si bien que son audition par la police lucernoise a été ordonnée. Dite audition n’ayant pas eu lieu en présence de l’avocat d’U.________, Me Gianluca MASTRO en a requis la répétition. Cité une nouvelle fois à comparaître le 15 mars 2024 par-devant le Ministère public, A.________ ne s’est pas présenté, sans s’être excusé au préalable, si bien qu’il apparaît qu’il s’est définitivement désintéressé de la présente procédure. Compte tenu de l’ensemble des éléments précités, malgré la présence de divers arguments à charge pesant à l’encontre d’U.________, la procédure n’a pas mis en exergue suffisamment d’éléments permettant de conclure que les probabilités d’une condamnation d’U.________ quant aux faits précités sont équivalentes ou supérieures à celles d’un acquittement. En effet, au vu des éléments au dossier, notamment du courrier de retrait de plainte du 16 novembre 2020 signée par A.________ (P. 6/1), il ne peut être exclu qu’A.________</w:t>
      </w:r>
    </w:p>
    <w:p>
      <w:r>
        <w:t>- 11 - ait effectivement apposé sa signature sur les documents litigieux. Il n’existe donc pas de soupçon suffisant à l’encontre d’U.________ s’agissant de la commission des infractions d’escroquerie et de faux dans les titres, au sens des art. 146 al. 1 et 251 ch. 1 al. 1 et 2 CP. » La procureure a motivé comme suit le refus d’octroyer au prévenu une indemnité au sens de l’art. 429 al. 1 let. a CPP : « En l’espère, au moment de la constitution de Me Gianluca MASTRO par U.________, le 9 septembre 2022, ce dernier avait déjà connaissance du retrait de plainte d’A.________ du 16 novembre 2020, que Me Gianluca MASTRO a d’ailleurs produit le 23 septembre 2022, en annexe de son premier courrier au Ministère public. Il est relevé au surplus que la cause n’était complexe ni en fait ni en droit, si bien qu’elle ne présentait aucune difficulté qu’U.________ ne pouvait surmonter seul. Partant, s’il était en droit de recourir aux services d’un avocat, l’assistance de ce dernier n’était manifestement pas nécessaire, si bien qu’il n’y a pas lieu d’allouer une indemnité couvrant ses frais d’avocat, au sens de l’art. 429 al. 1 let. a CPP. » C. Par acte du 29 août 2024, U.________, par ses défenseurs de choix, a recouru auprès de la Chambre des recours pénale contre cette ordonnance, en concluant, avec suite de frais et dépens, principalement, à la réforme du chiffre II de son dispositif en ce sens qu’une indemnité de 14’552 fr. 51 lui est allouée pour les dépenses occasionnées par l’exercice raisonnable de ses droits de procédure (I) et, subsidiairement, à l’annulation du chiffre II du dispositif de l’ordonnance attaquée et au renvoi de l’affaire au Ministère public pour fixer cette indemnité (II). Par acte du 27 février 2025, le Ministère public a indiqué qu’il n’entendait pas déposer de déterminations ensuite du recours interjeté par U.________. En d roit :</w:t>
      </w:r>
    </w:p>
    <w:p>
      <w:r>
        <w:t>- 12 - 1. 1.1 Les parties peuvent attaquer une ordonnance de classement rendue par le Ministère public en application des art. 319 ss CPP dans un délai de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le recours, satisfaisant aux conditions de forme posées par l’art. 385 al. 1 CPP, a été interjeté en temps utile devant l’autorité compétente par le prévenu qui a la qualité pour recourir contre la décision de refus de lui allouer une indemnité. Il est donc recevable. La valeur litigieuse dépassant ici la limite de 5'000 fr. (art. 395 let. b CPP a contrario), la Chambre des recours pénale in corpore est compétente. 2. 2.1 Le recourant invoque une constatation incomplète des faits au sens de l’art. 393 al. 2 let. b CPP. Il soutient que le Ministère public n’aurait pas pris en compte le fait qu’une instruction était ouverte contre lui pour escroquerie et faux dans les titres, à savoir pour des crimes, que cette instruction a d’abord été ouverte par le Ministère public du canton de Lucerne en 2018 et qu’elle n’a pas pris fin à la suite de son audition en octobre 2019, mais qu’elle s’est poursuivie dans le canton de Vaud en 2020 (en français, alors que le prévenu est germanophone et domicilié à Zurich), et qu’elle a duré près de deux ans après que son avocat avait écrit au Ministère public le 23 septembre 2022, en joignant à son courrier la déclaration de retrait de plainte d’A.________. Il reproche en outre au Ministère public de ne pas avoir tenu compte du fait que, devant la police lucernoise, il avait été assisté lors de son audition en qualité de prévenu par Jürg Krumm, avocat à Lucerne, que, dans la procédure vaudoise, il avait été confronté à des questions de droit de procédure complexes</w:t>
      </w:r>
    </w:p>
    <w:p>
      <w:r>
        <w:t>- 13 - générées par les actes entrepris par le Ministère public en relation avec la déclaration de retrait de plainte signée le 16 novembre 2020 par A.________ et que, dans ce cadre, son avocat avait été contraint d’accomplir des actes procéduraux les 6 juillet 2023, 31 octobre 2023, 12 février 2023 (recte : 2024) et 22 mars 2024. Il s’agit d’un ensemble de circonstances qui étaient connues du Ministère public et que celui-ci aurait dû prendre en considération pour déterminer si le recours à un défenseur de choix était raisonnable. Il soutient également que le Ministère public aurait violé l’art. 429 al. 1 let. a CPP et la jurisprudence y relative. En effet, le recours à un défenseur de choix était raisonnable, au vu des circonstances précitées. Enfin, il n’existerait pas de circonstances justifiant une suppression ou une réduction de l’indemnité, au sens de l’art. 430 al. 1 CPP. 2.2 Selon l'art. 429 al. 1 let. a CPP, qui s’applique tant à la procédure de première instance qu'à la procédure de recours en vertu du renvoi de l'art. 436 al. 1 CPP, le prévenu acquitté totalement ou en partie, ou qui bénéficie d’une ordonnance de classement, a le droit à une indemnité fixée conformément au tarif des avocats, pour les dépenses occasionnées par l'exercice raisonnable de ses droits de procédure. L'indemnité concerne les dépenses du prévenu pour un avocat de choix (ATF 139 IV 241 consid. 1 ; ATF 138 IV 205 consid. 1). Elle couvre en particulier les honoraires d'avocat, à condition que le recours à celui-ci procède d'un exercice raisonnable des droits de procédure (ATF 146 IV 332 consid. 1.3 ; ATF 144 IV 207 consid. 1.3.1 ; TF 7B_153/2024 du 15 janvier 2025 consid. 2.2.1 ; TF 6B_250/2024 du 13 août 2024 consid. 1.2 ; TF 6B_559/2023 du 8 novembre 2023 consid. 1.1). L'Etat ne prend en charge les frais de défense que si l'assistance d'un avocat était nécessaire compte tenu de la complexité de l'affaire en fait ou en droit et que le volume de travail et donc les honoraires étaient ainsi justifiés (ATF 142 IV 45 consid. 2.1 ; TF 7B_512/2023 du 30 septembre 2024 consid. 2.2.2 et les arrêts cités). L'autorité pénale examine d'office les prétentions du prévenu ; elle peut enjoindre à celui-ci de les chiffrer et de les justifier (art. 429 al. 2 CPP).</w:t>
      </w:r>
    </w:p>
    <w:p>
      <w:r>
        <w:t>- 14 - 2.3 En l’espèce, U.________ a bénéficié d’une ordonnance de classement pour les deux chefs d’accusation dont il faisait l’objet, soit pour les infractions d’escroquerie et de faux dans les titres. La première condition posée par l’art. 429 al. 1 let. a CPPP à l’allocation d’une indemnité est donc remplie. Il est manifeste que, lorsqu’il a consulté Me Gianluca Mastro, en septembre 2022, l’assistance d’un avocat lui était nécessaire. En 2019, le Ministère public du canton de Lucerne avait ouvert contre lui une instruction pour des faits pouvant remplir les conditions des deux infractions précitées, qui entrent dans la catégorie des crimes au sens de l’art. 10 al. 2 CP ; en outre, il avait des antécédents, notamment une condamnation du 4 avril 2019 pour plusieurs faux dans les titres, plusieurs escroqueries et une tentative d’escroquerie (commis également dans le cadre de son activité de courtier en assurances) à une peine pécuniaire de 150 jours-amende à 90 fr. le jour, avec sursis pendant cinq ans ; compte tenu du caractère similaire des actes qui lui étaient reprochés avec ceux pour lesquels il avait été condamné, il risquait donc que le sursis dont il avait bénéficié soit révoqué ; compte tenu de sa profession, une nouvelle inscription à son casier judiciaire pouvait lui être préjudiciable. Enfin, l’enquête avait été reprise par le canton de Vaud, alors que le recourant est germanophone, qu’il était domicilié à Zurich, et qu’il n’était donc pas familier avec les autorités vaudoises et l’organisation judiciaire de ce canton. Le transfert de for a manifestement complexifié la procédure et ce n’est en tout cas pas au recourant d’en pâtir. Pour tous ces motifs, l’assistance d’un avocat était raisonnable. Quant au fait que, lorsque Me Gianluca Mastro a été consulté, en septembre 2022, le plaignant avait déclaré dans un courrier du 16 novembre 2020 à la police lucernoise qu’il retirait sa plainte, cela n’enlève rien aux éléments qui précèdent. Comme les infractions en cause se poursuivaient d’office, le retrait de la plainte du 16 novembre 2020 ne mettait pas fin à la poursuite. En outre, ce retrait était accompagné de précisions factuelles apportées par le plaignant, notamment que c’était lui qui avait signé les contrats et résiliation en cause, mais qu’il n’avait par la</w:t>
      </w:r>
    </w:p>
    <w:p>
      <w:r>
        <w:t>- 15 - suite pas reconnu sa signature du fait qu’il avait signé alors qu’il était blessé ; or, d’une part, la comparaison entre les exemplaires de sa signature figurant sur ses deux auditions, et celles figurant sur les documents qu’il a argués de faux, ne montre pas de différence ; d’autre part, ces précisions impliquaient qu’il avait pu oublier de se rappeler qu’il avait signé ces documents, ce qui était pour le moins peu crédible, étant précisé que, lorsqu’il a déposé plainte et a été entendu, il a « omis » d’indiquer qu’il avait rencontré chez ses parents un courtier en relation avec ses assurances maladie et que ce dernier connaissait un certain nombres de renseignements à son sujet. Il s’ensuit que, si les éléments figurant dans la correspondance du 16 novembre 2020 étaient exacts, la commission par A.________ de l’infraction d’induction de la justice en erreur pouvait se poser. Pour ces motifs, la nécessité de l’assistance d’un avocat n’avait pas disparu en 2022 comme le prétend le Ministère public. Enfin, le Ministère public a invité le plaignant à confirmer son retrait de plainte, en vain, et il a alors saisi le Ministère public du canton de Lucerne d’une demande d’entraide judiciaire afin que le plaignant soit auditionné. Toutefois, si la police lucernoise a bien auditionné le plaignant en tant que personne appelée à donner des renseignements, le prévenu n’a pas été convoqué à assister à cette audition, et s’en est prévalu en sollicitant la répétition de la preuve dans le respect du contradictoire. Manifestement, du fait de cette informalité et de ses conséquences procédurales, et du fait qu’un classement ne devait pas forcément découler juridiquement du retrait de la plainte, la cause n’était pas simple en fait ou en droit comme le prétend le Ministère public. Au vu de ce qui précède, les arguments du recourant sont bien fondés. C’est à tort que le Ministère public a considéré que le recours à un avocat n’était pas raisonnable. Il n’appartient toutefois pas à la Chambre de céans de se substituer à l’autorité de première instance en analysant les honoraires considérés comme justifiés, et en fixant le montant de l’indemnité due en application de l’art. 429 al. 1 let. a CPP. A cet égard, le principe du respect de la double instance doit primer (TF 6B_1251/2016 du 19 juillet 2017 consid. 3.3 ; CREP 8 octobre 2024/721 consid. 2.2).</w:t>
      </w:r>
    </w:p>
    <w:p>
      <w:r>
        <w:t>- 16 - Le chiffre II du dispositif de l’ordonnance sera donc annulé et le Ministère public invité à fixer l’indemnité revenant au recourant, étant précisé que le détail des activités de ses avocats ne figure pas en annexe de son courrier du 18 juin 2024 (P. 16), mais qu’il a été produit à l’appui de son recours (P. 18/2/8). 3. Il résulte de ce qui précède que le recours doit être admis, le chiffre II du dispositif de l’ordonnance attaquée annulé et le dossier de la cause renvoyé au Ministère public pour qu’il procède dans le sens des considérants. Le recourant, qui a obtenu gain de cause et procédé avec l’assistance de deux avocats, a droit à une indemnité pour les dépenses occasionnées par la procédure de recours (art. 429 al. 1 let. a CPP par renvoi de l’art. 436 al. 1 CPP). Si le choix de travailler à plusieurs sur un dossier relève de l’organisation interne de l’étude, l’Etat n’a pas à indemniser à double le travail effectué, en particulier lorsque, comme en l’espèce, la cause ne présente pas de complexité ou d’ampleur particulières. Ainsi, au vu du mémoire de recours et de la nature de l’affaire, l’indemnité sera fixée à 1'800 fr., correspondant à 6 heures d’activité nécessaire d’avocat breveté au tarif horaire de 300 fr. (art. 26a al. 3 TFIP), auxquels il convient d’ajouter des débours forfaitaires à concurrence de 2% (art. 3bis al. 1 RAJ [règlement du 7 décembre 2010 sur l'assistance judiciaire en matière civile ; BLV 211.02.3], applicable par renvoi de l’art. 26b TFIP) des honoraires, par 36 fr., plus la TVA au taux de 8,1 %, par 148 fr. 70, soit à 1’985 fr. au total en chiffres arrondis.</w:t>
      </w:r>
    </w:p>
    <w:p>
      <w:r>
        <w:t>- 17 - Par ces motifs, la Chambre des recours pénale prononce : I. Le recours est admis. II. Le chiffre II du dispositif de l’ordonnance de classement du 16 août 2024 est annulé. III. Le dossier de la cause est renvoyé au Ministère public de l’arrondissement de l’Est vaudois pour qu’il procède dans le sens des considérants. IV. Les frais d’arrêt, par 1'650 fr. (mille six cent cinquante francs), sont laissés à la charge de l’Etat. V. Une indemnité de 1'985 fr. (mille neuf cent huitante-cinq francs) est allouée à U.________, pour la procédure de recours, à la charge de l’Etat. VI. L’arrêt est exécutoire. Le président : La greffière : Du Le présent arrêt, dont la rédaction a été approuvée à huis clos, est notifié, par l'envoi d'une copie complète, à : - Mes Gianluca Mastro et Thierry P. Augsburger, avocats (pour U.________), - Ministère public central ; et communiqué à : - Mme la Procureure de l’arrondissement de l’Est vaudois,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