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PE22.009159 vom 24. Juni 2022</w:t>
      </w:r>
    </w:p>
    <w:p>
      <w:r>
        <w:t>VD Tribunal cantonal, 2022-06-24, FR</w:t>
      </w:r>
    </w:p>
    <w:p>
      <w:r>
        <w:rPr>
          <w:b/>
        </w:rPr>
        <w:t xml:space="preserve">Quelle: </w:t>
      </w:r>
      <w:r>
        <w:t>https://mcp.opencaselaw.ch/entscheid/vd_gerichte_PE22.009159</w:t>
      </w:r>
    </w:p>
    <w:p>
      <w:r>
        <w:t>FR: VD_GERICHTE PE22.009159 du 24 juin 2022</w:t>
      </w:r>
    </w:p>
    <w:p>
      <w:r>
        <w:t>IT: VD_GERICHTE PE22.009159 del 24 giugno 2022</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 en ses conclusions I à V première phrase. En revanche, la conclusion tendant à ce que le Ministère public soit astreint à procéder à une surveillance rétroactive ne concerne pas la décision attaquée et est irrecevable (conclusion V seconde phrase).</w:t>
      </w:r>
    </w:p>
    <w:p>
      <w:r>
        <w:rPr>
          <w:b/>
        </w:rPr>
        <w:t>E. 2</w:t>
      </w:r>
    </w:p>
    <w:p>
      <w:r>
        <w:t>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 A l’expiration de la durée de la détention provisoire fixée par le Tribunal des mesures de contrainte, le Ministère public peut demander la prolongation de la détention (art. 227 al. 1 CPP).</w:t>
      </w:r>
    </w:p>
    <w:p>
      <w:r>
        <w:rPr>
          <w:b/>
        </w:rPr>
        <w:t>E. 3.1</w:t>
      </w:r>
    </w:p>
    <w:p>
      <w:r>
        <w:t>Le recourant conteste que les soupçons se soient renforcés. Selon lui, le nouveau rapport de police du 31 mai 2022 (P. 13/1) ferait avant tout état de suppositions et le seul élément objectif figurant dans ce rapport concernerait le fait qu’il avait été interpellé en possession de deux livres dérobés à E.________. Or, ces faits constitueraient tout au plus un vol d’importance mineure. Il s’avérerait donc que les actes d’instruction</w:t>
      </w:r>
    </w:p>
    <w:p>
      <w:r>
        <w:t>- 7 - entrepris à la suite de son interpellation ne permettraient pas de renforcer de manière déterminante les soupçons initiaux existants à son encontre. Près d’un mois après son interpellation, aucun élément au dossier ne permettrait de retenir qu’il aurait pénétré, à quelque moment que ce soit, dans l’appartement ayant fait l’objet de la perquisition. Le dossier ne comporterait pas non plus d’élément permettant d’établir qu’il connaîtrait ou aurait eu des contacts avec [...] et [...]. Il n’y aurait donc pas de graves soupçons de culpabilité à son encontre.</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1B_413/2019 du 11 septembre 2019 consid. 2.1 ; Chaix, op. cit., n.</w:t>
      </w:r>
    </w:p>
    <w:p>
      <w:r>
        <w:rPr>
          <w:b/>
        </w:rPr>
        <w:t>E. 3.3</w:t>
      </w:r>
    </w:p>
    <w:p>
      <w:r>
        <w:t>S’agissant des soupçons, l’argumentation du recourant est mince et peu étayée, alors que les éléments mis en avant par les enquêteurs dans leur rapport du 31 mai 2022 sont au contraire extrêmement concrets s’agissant du deuxième vol. En effet, il ressort notamment de ce rapport que « Le prévenu était également en possession d’un ordinateur volé ; cet objet apparaît dans la liste des objets dérobés à</w:t>
      </w:r>
    </w:p>
    <w:p>
      <w:r>
        <w:t>- 8 - M. [...] qui a déposé plainte le 19.05.2022. Il s’est fait voler son sac dans un train entre Lausanne et Aigle le jour même ». Par ailleurs, ce rapport indique également ce qui suit : « Lors de la fouille des effets de [...], deux livres intitulés « Effroyable jardin » et « Inconnu à cette adresse » ont été découverts. Nos recherches ont permis d’apprendre que ces livres avaient aussi été volés en date du dimanche 15.05.2022, également dans un train entre Lausanne et Aigle. Une plainte a été déposée le même jour par M. [...] (…). Parmi les objets signalés volés par M. [...], nous mentionnons un ordinateur de marque AZUS (n° de série [...]). Cet objet a été découvert durant la perquisition de l’appartement à 1800 Vevey (…), à savoir le logement où [...] s’est spontanément présenté le 19.05.2022 ». On ne saurait ainsi suivre le recourant lorsqu’il soutient que seule l’infraction de vol d’importance mineure au sens de l’art. 172ter CP pourrait être retenue contre lui. C’est ainsi bien plutôt l’infraction de vol, voire celle de vol en bande, qui sont susceptibles d’être retenues. C’est en vain que le recourant invoque qu’il n’aurait pas de lien avec l’appartement perquisitionné. D’abord, lorsqu’il a été appréhendé, il s’y présentait, ensuite, comme relevé dans le rapport de police, les objets dérobés dans le train à E.________ ont été trouvés en partie dans l’appartement (l’ordinateur de marque AZUS) et en partie sur le recourant (les livres) ; dans ces conditions, au vu du nombre important d’objets stockés et retrouvés dans l’appartement de [...], appartenant manifestement à de nombreux tiers, il est probable que L.________ ait un lien avec plusieurs autres vols ainsi qu’avec les autres prévenus de la cause. On peut ainsi légitimement penser d’une part, que les comparses se connaissaient et, d’autre part, qu’ils agissaient ensemble et de manière organisée. Par ailleurs, s’agissant de l’argument du recourant selon lequel près d’un mois après son interpellation aucun élément au dossier ne permettrait de retenir qu’il aurait pénétré, à quelque moment que ce soit, dans l’appartement ayant fait l’objet de la perquisition, il n’est pas relevant dès lors que c’est justement en voulant entrer dans l’appartement en question qu’il a été interpellé par la police.</w:t>
      </w:r>
    </w:p>
    <w:p>
      <w:r>
        <w:t>- 9 - Sur la base de ces éléments, des indices suffisants de culpabilité sont, à ce stade, réunis. 4. 4.1 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143 IV 160 consid. 4.3, JdT 2018 IV 3; TF 1B_124/2021 du 12 avril 2021 consid. 5; TF 1B_549/2020 du 9 novembre 2020 consid. 3.1). Le risque de fuite s'étend également au risque de se soustraire à la procédure pénale ou à la sanction prévisible en tombant dans la clandestinité à l'intérieur du pays (ATF 143 IV 160 précité ; TF 1B_549/2020 précité). 4.2 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le mettent en cause. Entrent aussi en considération la nature et l'importance des déclarations, respectivement des moyens de preuves susceptibles d'être menacés, la gravité des infractions en cause et le stade de la procédure</w:t>
      </w:r>
    </w:p>
    <w:p>
      <w:r>
        <w:t>- 10 - (ATF 137 IV 122 consid. 4.2 pp. 127 ss ; ATF 132 I 21 consid. 3.2 pp. 23 ss et les références citées). Plus l'instruction se trouve à un stade avancé et les faits sont établis avec précision, plus les exigences relatives à la preuve de l'existence d'un risque de collusion sont élevées (ATF 137 IV 122 consid. 4.2; ATF 132 I 21 consid. 3.2.2 ; TF 1B_426/2021 du 27 août 2021 consid. 2.1; TF 1B_414/2021 du 16 août 2021 consid. 5.1). 4.3 Le recourant ne développe pas de motivation en lien avec les risques de fuite et de collusion retenus. Ces risques sont manifestement toujours concrets. En effet, s’agissant du risque de fuite, on rappellera que le prévenu est un ressortissant algérien, arrivé en Europe en octobre 2021, qu’il vit entre la France et l’Espagne, où se trouvent son épouse et leurs enfants. De son propre aveu, il a gagné la Suisse quelques jours seulement avant son appréhension et n’y a aucune espèce d’attaches (PV aud. 3, R5). Partant, au vu des faits qui lui sont reprochés, une éventuelle soustraction aux poursuites engagées contre lui en fuyant la Suisse ou en disparaissant dans la clandestinité est non seulement possible mais hautement probable. Quant au risque de collusion, l’enquête a débuté il y a tout juste un mois et des contrôles doivent être menés afin d’établir la provenance des objets découverts dans l’appartement perquisitionné et ainsi de circonscrire l’ampleur de l’activité délictueuse de L.________, de même que ses liens avec les deux autres individus interpellés dans le cadre de la présente affaire. Il convient donc d’éviter que le prévenu n’interfère dans l’enquête en cours, en alertant d’éventuels autres comparses ou en faisant disparaître des éléments de preuve, ce qui compromettrait irrémédiablement la recherche de la vérité. Partant, les risques de fuite et de collusion sont avérés.</w:t>
      </w:r>
    </w:p>
    <w:p>
      <w:r>
        <w:t>- 11 - Les hypothèses prévues par l'art. 221 al. 1 CPP étant alternatives et non cumulatives (TF 1B_242/2016 du 21 juillet 2016 consid. 5 ; TF 1B_242/2013 du 5 août 2013 consid. 3), l’existence manifeste des risques de fuite et de collusion suffit à justifier le maintien en détention provisoire de L.________ et dispense la Cour de céans d’examiner un éventuel risque de réitération. 5. 5.1 Le recourant soutient que la durée de la prolongation, fixée à deux mois, serait exagérée. Il expose que dans son ordonnance du 22 mai 2022, le Tribunal des mesures de contrainte avait lui-même considéré qu’une durée d’un mois serait suffisante pour faire la lumière sur son activité délictueuse. Prononcer une prolongation de deux mois serait ainsi disproportionné. Le recourant considère en outre que le Ministère public aurait tardé à avancer dans son enquête, celui-ci n’ayant même pas pris la peine d’obtenir les casiers judiciaires espagnol et français du recourant. 5.2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consid. 3.1). Le fait que la peine encourue puisse être assortie du sursis, total ou partiel, n'est pas déterminant sous l'angle de la proportionnalité (ATF 133 I 270 consid. 3.4.2). 5.3 En l’occurrence, on ne saurait admettre une violation du principe de la proportionnalité. En effet, comme le premier juge l’a justement relevé, le début de l’enquête est récent et rien ne permet de penser qu’elle ne sera pas menée dans un délai raisonnable. Les</w:t>
      </w:r>
    </w:p>
    <w:p>
      <w:r>
        <w:t>- 12 - investigations se poursuivent et, d’ailleurs, le rapport de police du 31 mai 2022 le démontre. Il convient encore notamment de déterminer les liens entre tous les protagonistes de l’affaire et le rôle de chacun, étant précisé qu’une dizaine de plaintes ont été rassemblées en lien avec certains objets retrouvés dans l’appartement en question et que d’autres plaintes doivent encore être analysées pour savoir si elles ont un rapport avec la présente affaire. Enfin, les extractions téléphoniques prennent un certain temps et elles ont été compliquées par le recourant lui-même, qui a fourni un code de déverrouillage incorrect. Compte tenu de la détention subie depuis le 19 mai 2022 et à subir jusqu’au 19 août 2022, la prolongation accordée se révèle parfaitement proportionnée au vu de la nature des infractions envisagées. Par ailleurs, contrairement à ce qu’allègue le recourant, les casiers judiciaires espagnol et français le concernant ont été versés au dossier le 30 mai 2022. En outre, le fait que la détention n’ait d’abord été ordonnée que pour un mois est sans portée, la police ayant recueilli entre- temps des indices de commission d’infractions nouvelles à la charge du recourant.</w:t>
      </w:r>
    </w:p>
    <w:p>
      <w:r>
        <w:rPr>
          <w:b/>
        </w:rPr>
        <w:t>E. 6</w:t>
      </w:r>
    </w:p>
    <w:p>
      <w:r>
        <w:t>Pour le surplus, aucune mesure de substitution (art. 237 CPP) n’est susceptible de prévenir valablement les risques retenus, notamment celui de fuite, et le recourant n’en propose du reste aucune.</w:t>
      </w:r>
    </w:p>
    <w:p>
      <w:r>
        <w:rPr>
          <w:b/>
        </w:rPr>
        <w:t>E. 7</w:t>
      </w:r>
    </w:p>
    <w:p>
      <w:r>
        <w:t>Au vu de ce qui précède, le recours, manifestement mal fondé, doit être rejeté, dans la mesure où il est recevable, sans échange d’écritures (art. 390 al. 2 CPP) et l'ordonnance du 16 juin 2022 confirmée. Vu le sort du recours, les frais de la procédure de recours, constitués de l’émolument d’arrêt, par 1'320 fr. (art. 20 al. 1 TFIP [Tarif des frais de procédure et indemnités en matière pénale du 28 septembre 2010 ; BLV 312.03.1]), ainsi que des frais imputables à la défense d’office (art. 422 al. 1 et 2 let. a CPP), fixés à 540 fr. sur la base d’une durée d’activité raisonnable d’avocat indiquée de 3 heures au tarif horaire de 180 fr., auxquels il convient d’ajouter des débours forfaitaires à</w:t>
      </w:r>
    </w:p>
    <w:p>
      <w:r>
        <w:t>- 13 - concurrence de 2 % (art. 2 al. 1 let. a et 3bis al. 1 RAJ [Règlement sur l'assistance judiciaire en matière civile du 7 décembre 2010 ; BLV 211.02.3], applicables par renvoi de l’art. 26b TFIP), par 10 fr. 80, et la TVA, par 42 fr. 40, soit à 594 fr. au total en chiffres arrondis,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dans la mesure où il est recevable. II. L’ordonnance du 16 juin 2022 est confirmée. III. L’indemnité allouée à Me Romain Rochani, défenseur d'office de L.________, est fixée à 594 fr. (cinq cent nonante-quatre francs). IV. Les frais d'arrêt, par 1’320 fr. (mille trois cent vingt francs), ainsi que l'indemnité allouée à Me Romain Rochani, par 594 fr. (cinq cent nonante-quatre francs), sont mis à la charge de L.________. V. Le remboursement à l'Etat de l'indemnité allouée sous chiffre III ci-dessus ne sera exigible de L.________ que pour autant que sa situation financière le permette. VI. L’arrêt est exécutoire. La présidente : La greffière : Du Le présent arrêt, dont la rédaction a été approuvée à huis clos, est notifié, par l'envoi d'une copie complète, à : - Me Romain Rochani, avocat (pour L.________),</w:t>
      </w:r>
    </w:p>
    <w:p>
      <w:r>
        <w:t>- 14 - - Ministère public central,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