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PE22.009157 vom 25. März 2025</w:t>
      </w:r>
    </w:p>
    <w:p>
      <w:r>
        <w:t>VD Tribunal cantonal, 2025-03-25, FR</w:t>
      </w:r>
    </w:p>
    <w:p>
      <w:r>
        <w:rPr>
          <w:b/>
        </w:rPr>
        <w:t xml:space="preserve">Quelle: </w:t>
      </w:r>
      <w:r>
        <w:t>https://mcp.opencaselaw.ch/entscheid/vd_gerichte_PE22.009157</w:t>
      </w:r>
    </w:p>
    <w:p>
      <w:r>
        <w:t>FR: VD_GERICHTE PE22.009157 du 25 mars 2025</w:t>
      </w:r>
    </w:p>
    <w:p>
      <w:r>
        <w:t>IT: VD_GERICHTE PE22.009157 del 25 marzo 2025</w:t>
      </w:r>
    </w:p>
    <w:p>
      <w:pPr>
        <w:pStyle w:val="Heading2"/>
      </w:pPr>
      <w:r>
        <w:t>Erwägungen</w:t>
      </w:r>
    </w:p>
    <w:p>
      <w:r>
        <w:rPr>
          <w:b/>
        </w:rPr>
        <w:t>E. 1</w:t>
      </w:r>
    </w:p>
    <w:p>
      <w:r>
        <w:t>Citoyenne suisse, B.________ est née le ***1990 à Q***, en Inde. Elle a été adoptée à l’âge d’un an et demi, grandissant à la R*** où elle a suivi sa scolarité avant d’obtenir un diplôme de coiffeuse. De 2011 à novembre 2023, elle a travaillé à 80 % comme ouvrière en horlogerie pour le compte de la société G.________ SA, réalisant un salaire mensuel net de 3'100 francs. Elle vit séparée d’AA.________, avec qui elle a eu deux enfants, A.________, née le ***2010, et D.________, né le ***2013. La procédure de divorce est en cours. Dans les premiers temps de la séparation, à compter du mois de janvier 2020, la garde des enfants A.________ et D.________ a été confiée à B.________, AA.________ disposant d’un droit de visite par l’intermédiaire de Point Rencontre. Depuis octobre 2021, le père a bénéficié 13J010</w:t>
      </w:r>
    </w:p>
    <w:p>
      <w:r>
        <w:t>- 11 - d’un droit de visite à raison d’un week-end sur deux. Ensuite des faits qui nous occupent, soit le 7 avril 2022, la garde des enfants a été transférée à AA.________, avant que ceux-ci ne soient placés en foyer en octobre 2022. Après près de deux ans de suspension du droit de visite, B.________ a repris des relations personnelles avec ses enfants par l’intermédiaire d’Espace Contact à compter du mois de février 2024. Actuellement, elle voit ses enfants une fois par mois dans les locaux d’Espace Contact, pour une durée d’une heure, sans avoir l’autorisation de leur téléphoner. AA.________ voit également ses enfants par l’intermédiaire d’Espace contact, étant précisé qu’il a l’autorisation de leur téléphoner une fois par semaine. B.________ vit avec son concubin K.________ dans un appartement de 5 pièces au C*** dont le loyer s’élève à 1'420 fr., charges comprises. Elle n’exerce actuellement aucune activité lucrative et les concubins sont les parents d’un enfant, prénommé L.________, né le ***2023. B.________ s’acquitte d’un montant mensuel de 377 fr. pour son assurance-maladie et celle de l’enfant L.________. Ce dernier bénéficie par ailleurs d’une mesure de surveillance judiciaire à forme de l’art. 307 al. 3 CC (Code civil suisse du 10 décembre 1907 ; RS 210). Le casier judiciaire de B.________ est vierge.</w:t>
      </w:r>
    </w:p>
    <w:p>
      <w:r>
        <w:rPr>
          <w:b/>
        </w:rPr>
        <w:t>E. 2</w:t>
      </w:r>
    </w:p>
    <w:p>
      <w:r>
        <w:t>Aux termes de l’art. 398 CPP, la juridiction d’appel jouit d’un plein pouvoir d’examen sur tous les points attaqués du jugement (al. 2). L’appel peut être formé pour (a) violation du droit, y compris l’excès et 13J010</w:t>
      </w:r>
    </w:p>
    <w:p>
      <w:r>
        <w:t>- 13 -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2.1</w:t>
      </w:r>
    </w:p>
    <w:p>
      <w:r>
        <w:t>Au C***, à tout le moins entre 2020 et le 7 avril 2022, date du placement des enfants chez leur père AA.________, B.________ a négligé l’éducation et les soins de ses enfants A.________, née le ***2010, et D.________, né le ***2013. En particulier : - la prévenue a régulièrement recouru à des fessées pour punir ses enfants, parfois par-dessus les habits, parfois à même la peau et a tiré A.________ par les cheveux ; - lorsqu’elle était énervée par certaines situations, la prévenue a saisi à plusieurs reprises ses enfants au niveau des bras, en plantant ses ongles dans leur peau ; 13J010</w:t>
      </w:r>
    </w:p>
    <w:p>
      <w:r>
        <w:t>- 12 - - à une date indéterminée en 2020, elle a blessé A.________ avec un cutter au niveau de l’épaule, en faisant un geste dans la direction de sa fille avec cet objet ; - le 14 juin 2021, elle a frappé A.________ au moyen d’un marteau au niveau du genou ; - elle n’a pas assuré une alimentation en quantité suffisante pour ses enfants qui ont souffert de malnutrition, leur offrant des sandwichs ou un croissant au jambon pour la journée ; - la prévenue n’a pas pris soin de l’hygiène de ses enfants dans la mesure où celle-ci était (parfois) précaire ; - la prévenue a laissé ses enfants vivre dans des chambres dans un état proche de l’insalubrité ; - elle a laissé ses enfants vivre dans un appartement enfumé ; - la prévenue a parfois expulsé ses enfants du logement, les laissant se débrouiller seuls et ayant l’interdiction de rentrer avant 19 heures ou leur a interdit de sortir de leur chambre avant 14 heures afin qu’elle puisse se reposer.</w:t>
      </w:r>
    </w:p>
    <w:p>
      <w:r>
        <w:rPr>
          <w:b/>
        </w:rPr>
        <w:t>E. 2.2</w:t>
      </w:r>
    </w:p>
    <w:p>
      <w:r>
        <w:t>Au C***, les 1er et 2 juin 2022, B.________ a empêché sa fille A.________ de sortir d’un magasin où elle l’a rencontrée après que celle-ci a été placée chez son père, et l’a influencée de manière à ce qu’elle se rétracte quant à ses déclarations de maltraitances, tout en enregistrant leur conversation. En dro 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d’A.________ et D.________ est recevable.</w:t>
      </w:r>
    </w:p>
    <w:p>
      <w:r>
        <w:rPr>
          <w:b/>
        </w:rPr>
        <w:t>E. 3</w:t>
      </w:r>
    </w:p>
    <w:p>
      <w:r>
        <w:t>A l’audience d’appel, les appelants n’ont pas réitéré leur réquisition de preuve formulée le 5 novembre 2025 tendant au versement au dossier de la copie du mandat d’expertise ainsi que des questions adressées à l’expert en charge de l’évaluation pédopsychiatrique des enfants A.________ et D.________ dans le cadre de la procédure civile TD22.025000-CFU. Quoi qu’il en soit, cette réquisition n’est plus pertinente compte tenu de l’issue de l’appel.</w:t>
      </w:r>
    </w:p>
    <w:p>
      <w:r>
        <w:rPr>
          <w:b/>
        </w:rPr>
        <w:t>E. 4.1</w:t>
      </w:r>
    </w:p>
    <w:p>
      <w:r>
        <w:t>Les appelants invoquent une constatation erronée des faits et une violation de la présomption d’innocence. Ils reprochent au premier juge de ne s’être fondé que sur les déclarations de la prévenue, diamétralement opposées aux leurs, et d’avoir mis en doute la fiabilité des déclarations d’A.________ en arguant qu’elle entretiendrait un rapport biaisé à la réalité. Ils rappellent que dans son ordonnance pénale du 22 août 2024, le Ministère public avait au contraire considéré les déclarations des enfants comme crédibles et concordantes. A.________ et D.________ avaient fait part à différents intervenants des maltraitances ainsi que des violences exercées par sa mère. Certains de ces intervenants, comme la DGEJ, avaient constaté des blessures sur les enfants. Si A.________ s’était rétractée ensuite, ce serait dû à l’influence et à la pression de sa mère, ce que le premier juge avait du reste reconnu. La seconde fois où A.________ était revenue sur ses déclarations n’aurait rien d’anodin, l’enfant ayant encore une fois été 13J010</w:t>
      </w:r>
    </w:p>
    <w:p>
      <w:r>
        <w:t>- 14 - soumise à une forte pression de sa mère. Ils relèvent enfin que la psychologue d’A.________ a indiqué dans son dernier rapport que celle-ci continuait d’affirmer avoir été exposée à des maltraitances et des négligences de la part de la prévenue et était toujours fortement impactée par son vécu.</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ATF 145 IV 154 consid. 1.1).</w:t>
      </w:r>
    </w:p>
    <w:p>
      <w:r>
        <w:rPr>
          <w:b/>
        </w:rPr>
        <w:t>E. 4.3</w:t>
      </w:r>
    </w:p>
    <w:p>
      <w:r>
        <w:t>En l’espèce, il est vrai que la prévenue a toujours nié les faits reprochés, admettant uniquement devant la police avoir, à une reprise, 13J010</w:t>
      </w:r>
    </w:p>
    <w:p>
      <w:r>
        <w:t>- 15 - donné doucement une claque sur la joue d’A.________ après que celle-ci lui avait dit « ta gueule » (PV aud. 3, p. 6). Lors de la même audition, elle avait contesté que ses enfants souffraient de malnutrition, précisant que ceux-ci étaient difficiles avec la nourriture. Elle avait aussi soutenu que lorsqu’A.________ faisait des crises, il lui arrivait de s’assoir sur son lit en tailleur et de serrer très fort les bras au niveau des biceps en se griffant et qu’elle se griffait parfois au visage (ibid.). La prévenue avait encore contesté avoir blessé sa fille avec un cutter et l’avoir frappée avec un marteau (ibid., p. 8). Elle avait maintenu ses déclarations devant le Ministère public (PV aud. 7), lors des débats de première instance (cf. jugement, pp. 8-12) et à l’audience d’appel (cf. supra, pp. 3-5). Il est aussi vrai que le rapport de police du 28 décembre 2022 conclut que la police ne peut pas formellement confondre la prévenue et le père des enfants par rapport aux accusations portées par ces derniers. La police a en outre relevé que les différents témoignages permettaient de mettre en lumière une situation conflictuelle entre les parents, lesquels avaient très probablement instrumentalisé les enfants pour régler leurs comptes. Elle n’excluait ainsi pas qu’A.________ subisse ces pressions à sa manière et qu’elle s’était sentie « tiraillée » face à ces querelles entre ses parents (P. 12, p. 17). Il est enfin vrai que les enfants ont visiblement été pris dans un très fort conflit de loyauté. Toutefois, en dépit des éléments qui précèdent, l’appréciation faite par le Ministère public dans son ordonnance du 22 août 2024 quant à la crédibilité et la concordance des déclarations des enfants doit prévaloir. En effet, contrairement à ce qu’a retenu le premier juge, il ne ressort pas du dossier que les nombreux intervenants professionnels ont tous noté qu’A.________ pouvait avoir un rapport questionnant à la réalité (cf. jugement, p. 20). Certes, la psychologue M.________ a exposé que le discours d’A.________ « pouvait changer d’une semaine à l’autre, sur n’importe quel sujet » (cf. jugement, p. 6). En outre, selon un « retour éducatif » de la Fondation F.________ du 28 juin 2024 (PV aud. 7, annexe), à son arrivée à la fondation, l’enfant avait tendance à déformer la réalité et à dire des choses qui n’étaient pas totalement justes. Toutefois, l’éducateur référent de l’enfant et auteur du « retour éducatif » précité, N.________, n’a pas réitéré ce rapport questionnant à la vérité lorsqu’il a été entendu comme témoin 13J010</w:t>
      </w:r>
    </w:p>
    <w:p>
      <w:r>
        <w:t>- 16 - aux débats de première instance, mais a uniquement indiqué le fait que la jeune fille pouvait « raconter une histoire mais que des bouts par personne. Elle va raconter une partie à moi et une autre à ma collègue et ainsi de suite » (cf. jugement, p. 4). Le doyen de l’école, P.________, a pour sa part déclaré « pour moi, ce qu’elle m’a dit, c’est malheureusement la vérité » (PV aud. 4, R. 11). Quant à la psychologue O.________, dans un « point de situation » de juillet 2024 (PV aud. 7, annexe), elle avait déclaré qu’au début de sa prise en charge commencée en mai 2023, le rapport à la réalité d’A.________ était questionnant. Il pouvait arriver à l’enfant de fabuler, ce qui entraînait des difficultés relationnelles, avec ses pairs notamment. Elle avait précisé que c’était souvent une manière maladroite pour A.________ d’exprimer son désir d’être en lien et reconnue par ses pairs. Toutefois, dans un rapport du 29 avril 2025 produit à l’appui de l’appel, cette même psychologue a indiqué que dans le cadre du suivi thérapeutique, A.________ avait confié et continuait d’affirmer avoir été exposée à des situations de maltraitances et à des négligences de la part de ses parents, ajoutant que la manière qu’elle avait de narrer son histoire était certainement influencée par plusieurs variables dont le conflit de loyauté faisait partie. On relève que depuis lors, les intervenants ont tous indiqué avoir travaillé avec l’enfant sur la notion de mensonge. Ainsi, la tendance à déformer la réalité retenue par le premier juge n’est pas unanimement relevée. A.________ a présenté une version concordante des faits à la DGEJ, au corps enseignant et à la police. Elle s’est d’abord confiée à diverses intervenantes de son établissement scolaire (maîtresse, médiatrice et animatrice prévention santé), lesquelles ont porté le cas devant le doyen. Elle s’est aussi ouverte à ce dernier et, comme déjà mentionné, lui est apparue crédible (cf. PV aud. 4). A.________ a ensuite confirmé qu’elle était victime de manquements et de violences de la part de sa mère lorsqu’elle a rencontré BB.________, assistante sociale auprès de la DGEJ le 7 avril 2022. Lors de cet entretien, l’intervenante a constaté des marques sur les bras d’A.________ qui semblaient « correspondre à des blessures d’ongles dans la peau » (P. 4, p. 2). On relève que D.________, entendu le même jour séparément de sa sœur, a tenu le même discours et présentait aussi des blessures superficielles sur les bras (ibid.). Enfin, lorsqu’elle a été entendue 13J010</w:t>
      </w:r>
    </w:p>
    <w:p>
      <w:r>
        <w:t>- 17 - par la police, A.________ a tenu le même discours et relaté « de façon spontanée de nouveaux éléments » (P. 12, p. 9). C’est le lieu de dire que l’enfant ne s’est pas contentée de vagues accusations mais a décrit des événements bien précis, avec des propos très détaillés et a utilisé des termes d’enfant comme « gronder très fort » ou « des choses pas bien ». La jeune fille a été capable de situer le début des violences de manière crédible et de l’expliquer par le fait que sa mère avait commencé à boire (PV aud. 1). Du reste, plusieurs centaines de cannettes de bière vides ont été retrouvées dans le logement de la prévenue (PV aud. 1, R. 6). Certes, celle- ci et son ami ont contesté que la mère boive de la bière, mais il s’agit d’un indice supplémentaire. Il s’ensuit que dans un premier temps, le discours et les accusations d’A.________ ont été constants et concordants. La jeune fille s’est ensuite rétractée une première fois les 1er et 2 juin 2022 dans le magasin d’I.________. Or, ces évènements, qui font l’objet du cas n° 2 de l’acte d’accusation, ont été retenus par le premier juge comme qualificatifs de contrainte, la prévenue ayant « influencé sa fille de façon que celle-ci se rétracte quant à ses déclarations de maltraitance » (cf. jugement, p. 22). Il est dès lors pour le moins contradictoire de retenir ce revirement de la jeune fille comme la preuve qu’elle aurait menti en ce qui concerne le cas n° 1 de l’acte d’accusation. Il s’agit bien plutôt de la preuve que l’enfant avait peur de sa mère et se trouvait dans un conflit de loyauté tel qu’elle n’a vu d’autre issue que de se rétracter. Quant à la seconde et dernière rétractation, elle a eu lieu alors qu’A.________ revoyait sa mère pour la première fois après une suspension du droit de visite de deux ans. On peut bien imaginer que dans ces circonstances, elle ait pu être influencée, soit directement, soit indirectement compte tenu du conflit de loyauté qu’elle vivait, à modifier ses précédentes accusations. Il apparaît ainsi à la Cour de céans que dans le contexte qui est celui de cette affaire, les rétractations de la jeune fille ne permettent pas de jeter un doute insurmontable quant à la réalité de ses accusations. Cela est d’autant plus vrai que, contrairement à ce que retient le jugement entrepris, il y a bel et bien des éléments matériels au dossier qui accréditent les dires de l’enfant, soit les marques constatées sur ses bras. Enfin, le 13J010</w:t>
      </w:r>
    </w:p>
    <w:p>
      <w:r>
        <w:t>- 18 - jugement occulte totalement le fait que D.________ a confirmé les dires de sa sœur en dénonçant lui aussi un manque de nourriture et des violences physiques et psychiques subies (P. 4, p. 2), alors qu’il était lui-même entendu séparément, et que rien ne permet d’affirmer qu’il aurait des difficultés avec la réalité. En outre, des marques ont également été constatées sur les bras de D.________ (ibid.). A cela s’ajoute encore le fait que la prévenue est apparue peu crédible quand elle a exposé sa manière de régler les conflits avec ses enfants, à savoir qu’ils s’asseyaient par terre au salon, avec de la musique relaxante et effectuaient des exercices de méditation, parfois avec des pierres précieuses, des huiles essentielles ou des lumières au plafond (cf. jugement, p. 11 ; supra, p. 4). Au vu de l’ensemble des éléments qui précèdent, il y a lieu de retenir les faits tels que décrits au cas n° 1 de l’acte d’accusation à la charge de B.________.</w:t>
      </w:r>
    </w:p>
    <w:p>
      <w:r>
        <w:rPr>
          <w:b/>
        </w:rPr>
        <w:t>E. 5.1</w:t>
      </w:r>
    </w:p>
    <w:p>
      <w:r>
        <w:t>B.________ était renvoyée pour le cas n°1 de l’acte d’accusation comme prévenue de lésions corporelles simples qualifiées, de voies de fait qualifiées et de violation du devoir d’assistance ou d’éducation.</w:t>
      </w:r>
    </w:p>
    <w:p>
      <w:r>
        <w:rPr>
          <w:b/>
        </w:rPr>
        <w:t>E. 5.2.1</w:t>
      </w:r>
    </w:p>
    <w:p>
      <w:r>
        <w:t>Selon l’art. 123 ch. 1 aCP, applicable en l’espèce dès lors que le nouveau droit n’est pas plus favorable à la prévenue (cf. art. 2 CP), est puni pour lésions corporelles simples celui qui, intentionnellement, aura fait subir à une personne une autre atteinte à l’intégrité corporelle ou à la santé que celles prévues à l’art. 122 CP. L’art. 123 ch. 2 al. 2 CP précise que la poursuite aura lieu d’office et la peine sera une peine privative de liberté de trois ans au plus ou une peine pécuniaire si le délinquant s’en est pris à une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13J010</w:t>
      </w:r>
    </w:p>
    <w:p>
      <w:r>
        <w:t>- 19 -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CP protège non seulement l’intégrité corporelle et la santé physique, mais aussi la santé psychique (cf. ATF 134 IV 189 précité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 13J010</w:t>
      </w:r>
    </w:p>
    <w:p>
      <w:r>
        <w:t>- 20 -</w:t>
      </w:r>
    </w:p>
    <w:p>
      <w:r>
        <w:rPr>
          <w:b/>
        </w:rPr>
        <w:t>E. 5.2.2</w:t>
      </w:r>
    </w:p>
    <w:p>
      <w:r>
        <w:t>En vertu de l’art. 126 al. 1 CP, quiconque se livre sur une personne à des voies de fait qui ne causent ni lésion corporelle ni atteinte à la santé est, sur plainte, puni d’une amende. Selon l’al. 2 let. a de cette disposition, la poursuite a lieu d’office si l’auteur agit à réitérées reprises contre une personne, notamment un enfant, dont il a la garde ou sur laquelle il a le devoir de veiller.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6B_61/2024 du 16 janvier 2025 consid. 2.2.1 ; TF 6B_820/2024 du 2 décembre 2024 consid. 2.1). Peuvent être qualifiées de voies de fait, une gifle, un coup de poing ou de pied, de fortes bourrades avec les mains ou les coudes (TF 6B_61/2024 précité consid. 2.2.1 ; TF 6B_820/2024 précité consid. 2.1 ; TF 6B_1257/2023 du 18 juin 2024 consid. 2.1.2).</w:t>
      </w:r>
    </w:p>
    <w:p>
      <w:r>
        <w:rPr>
          <w:b/>
        </w:rPr>
        <w:t>E. 5.2.3</w:t>
      </w:r>
    </w:p>
    <w:p>
      <w:r>
        <w:t>Selon l’art. 219 aCP, applicable en l’espèce dès lors que le nouveau droit n’est pas plus favorable à la prévenue (cf. art. 2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(ATF 149 IV 240 consid. 2.2 et la référence citée). 13J010</w:t>
      </w:r>
    </w:p>
    <w:p>
      <w:r>
        <w:t>- 21 -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(ibidem).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(ibid.).</w:t>
      </w:r>
    </w:p>
    <w:p>
      <w:r>
        <w:rPr>
          <w:b/>
        </w:rPr>
        <w:t>E. 5.3</w:t>
      </w:r>
    </w:p>
    <w:p>
      <w:r>
        <w:t>En l’espèce, les agissements de la prévenue sont, pour certains, constitutifs de lésions corporelles simples qualifiées. Des marques ont été constatées sur les bras des enfants. Il ne fait aucun doute que le fait de recevoir un coup de marteau dans le genou occasionne une douleur intense. Quand bien même cet événement n’est pas repris spécifiquement dans l’acte d’accusation, A.________ avait en outre décrit avoir une cicatrice au 13J010</w:t>
      </w:r>
    </w:p>
    <w:p>
      <w:r>
        <w:t>- 22 - visage après avoir reçu une gifle si forte qu’elle l’avait faite tomber sur un vase qui lui avait ouvert le visage. Elle a également été blessée avec un cutter. Des traces sur la peau de jeunes enfants sont assurément la preuve d’une douleur non négligeable. Ensuite, avec les appelants, il y a lieu de retenir qu’ils ont été profondément atteints dans leur santé psychique. Le climat délétère et anxiogène dans lequel ils vivaient, sans cesser de craindre les violences de leur mère, a provoqué une symptomatologie anxieuse et de la trichotillomanie chez A.________. Les enfants sont suivis par de nombreux thérapeutes depuis plusieurs années. Les différents éléments cités sont ainsi constitutifs de lésions corporelles simples qualifiées. Les nombreuses fessées et les tirages des cheveux d’A.________ sont pour leur part constitutifs de voies de faits qualifiées. Il ne fait ensuite aucun doute que les éléments constitutifs de l’infraction de violation du devoir d’assistance ou d’éducation sont réunis en l’espèce. La prévenue a adopté un comportement violent, dénigrant et négligent pendant plusieurs années, lequel a concrètement mis en danger le développement physique et surtout psychique de ses enfants tel que décrit ci-dessus. En outre, dès lors que les faits du cas n° 1 de l’acte d’accusation doivent être retenus, il y a lieu de considérer que les faits du cas n° 2 de l’acte d’accusation qui viennent s’ajouter constituent également une violation du devoir d’assistance ou d’éducation.</w:t>
      </w:r>
    </w:p>
    <w:p>
      <w:r>
        <w:rPr>
          <w:b/>
        </w:rPr>
        <w:t>E. 6.1</w:t>
      </w:r>
    </w:p>
    <w:p>
      <w:r>
        <w:t>La prévenue devant finalement être condamnée pour l’ensemble des faits qui lui sont reprochés, il y a lieu de réexaminer la peine.</w:t>
      </w:r>
    </w:p>
    <w:p>
      <w:r>
        <w:rPr>
          <w:b/>
        </w:rPr>
        <w:t>E. 6.2.1</w:t>
      </w:r>
    </w:p>
    <w:p>
      <w:r>
        <w:t>Selon l’art. 47 CP, le juge fixe la peine d’après la culpabilité de l’auteur. Il prend en considération les antécédents et la situation personnelle de ce dernier ainsi que l’effet de la peine sur son avenir (al. 1). 13J010</w:t>
      </w:r>
    </w:p>
    <w:p>
      <w:r>
        <w:t>- 23 -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et les réf. cit.).</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13J010</w:t>
      </w:r>
    </w:p>
    <w:p>
      <w:r>
        <w:t>- 24 -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consid. 1.4 ; TF 6B_1268/2023 du 21 décembre 2023 consid. 2.1).</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13J010</w:t>
      </w:r>
    </w:p>
    <w:p>
      <w:r>
        <w:t>- 25 - peut justifier un pronostic défavorable, car seul celui qui se repent de son acte mérite la confiance que l'on doit pouvoir accorder au condamné bénéficiant du sursis (ATF 135 IV 180 consid. 2.1 ; ATF 134 IV 1 précité consid. 4.2.1).</w:t>
      </w:r>
    </w:p>
    <w:p>
      <w:r>
        <w:rPr>
          <w:b/>
        </w:rPr>
        <w:t>E. 6.3</w:t>
      </w:r>
    </w:p>
    <w:p>
      <w:r>
        <w:t>La culpabilité de B.________ est lourde. Elle a agi durablement et n’a jamais reconnu le caractère illicite de ses actes, préférant faire passer sa fille pour une menteuse. Ses agissements ont eu des conséquences délétères et ont provoqué d’intenses souffrances chez ses enfants. Elle ne fait toutefois état d’aucune prise de conscience à cet égard, déclarant encore à l’audience d’appel « n’avoir aucune responsabilité dans le mal-être de [sa] fille » (cf. supra, p. 3). Les infractions ont par ailleurs été commises en concours. Il n’y a guère d’élément à décharge, si ce n’est que les faits ont eu lieu dans le contexte d’une séparation hautement conflictuelle, dans le cadre de laquelle les enfants ont été placés en foyer, et que le droit de visite a désormais repris, ce qui semble indiquer un début d’évolution chez la mère. L’infraction la plus grave, soit la violation du devoir d’assistance ou d’éducation, doit être sanctionnée d’une peine pécuniaire de 90 jours. A cela, doivent s’ajouter 60 jours de peine pécuniaire pour les lésions corporelles simples qualifiées et 30 jours pour la contrainte. La peine d’ensemble doit dès lors être fixée à 180 jours-amende, le montant du jour- amende pouvant être fixé à 30 francs. La prévenue n’a pas d’antécédents, de sorte qu’elle bénéficiera du sursis à l’exécution de la peine, les conditions tant objectives que subjectives étant remplies. Le délai d’épreuve sera fixé au minimum légal de 2 ans (art. 44 al. 1 CP). Quant à l’amende qui doit être infligée pour sanctionner la contravention de voies de fait qualifiées et à titre de sanction immédiate (art. 42 al. 4 CP), elle doit être fixée à 1'000 fr., convertible en 33 jours de peine privative de liberté de substitution en cas de non-paiement fautif dans le délai imparti. 13J010</w:t>
      </w:r>
    </w:p>
    <w:p>
      <w:r>
        <w:t>- 26 -</w:t>
      </w:r>
    </w:p>
    <w:p>
      <w:r>
        <w:rPr>
          <w:b/>
        </w:rPr>
        <w:t>E. 7.1</w:t>
      </w:r>
    </w:p>
    <w:p>
      <w:r>
        <w:t>Les appelants concluent à l’allocation d’une indemnité pour tort moral d’un montant de 1'350 fr. chacun. Cette indemnité est estimée en prenant en compte un montant mensuel de 50 fr. par enfant sur une période allant de janvier 2020, début présumé des maltraitances, jusqu’au 7 avril 2022, date du placement des enfants, d’abord chez leur père, puis en foyer.</w:t>
      </w:r>
    </w:p>
    <w:p>
      <w:r>
        <w:rPr>
          <w:b/>
        </w:rPr>
        <w:t>E. 7.2</w:t>
      </w:r>
    </w:p>
    <w:p>
      <w:r>
        <w:t>En vertu de l'art. 49 al. 1 CO (Code des obligations du 30 mars 1911 ; RS 220), celui qui subit une atteinte illicite à sa personnalité a droit à une somme d'argent à titre de réparation morale, pour autant que la gravité de l'atteinte se justifie et que l'auteur ne lui ait pas donné satisfaction autrement.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 13J010</w:t>
      </w:r>
    </w:p>
    <w:p>
      <w:r>
        <w:t>- 27 -</w:t>
      </w:r>
    </w:p>
    <w:p>
      <w:r>
        <w:rPr>
          <w:b/>
        </w:rPr>
        <w:t>E. 7.3</w:t>
      </w:r>
    </w:p>
    <w:p>
      <w:r>
        <w:t>En l’espèce, comme déjà dit, les enfants ont subi des atteintes tant physiques que psychiques de la part de leur mère. Celles-ci ont nui à leur bon développement. Ils sont en outre toujours placé en foyer depuis les faits. Il est dès lors indéniable qu’ils ont souffert et le montant de l’indemnité réclamé pour chacun d’entre eux apparaît adéquat. Le point de départ des intérêts peut être fixé au 2 juin 2022, comme conclu, ce qui constitue une échéance moyenne.</w:t>
      </w:r>
    </w:p>
    <w:p>
      <w:r>
        <w:rPr>
          <w:b/>
        </w:rPr>
        <w:t>E. 8</w:t>
      </w:r>
    </w:p>
    <w:p>
      <w:r>
        <w:t>Compte tenu de la condamnation de B.________ pour l’ensemble des faits qui lui sont reprochés, il convient de mettre à sa charge l’entier des frais de première instance. Il n’y a en outre plus lieu de lui allouer d’indemnité au sens de l’art. 429 CPP et le chiffre X du dispositif du jugement de première instance qui s’y rapporte sera supprimé. 6. En définitive, l’appel doit être admis et le jugement entrepris réformé dans le sens des considérants qui précèdent. Me Yan Schumacher, conseil juridique gratuit et curateur des enfants A.________ et D.________, a produit une liste d’opérations (P. 73) dans laquelle il a annoncé avoir consacré 22h55 au mandat. Il n’y a pas lieu de s’écarter de cette liste, sauf à diminuer de 25 minutes la durée estimée de l’audience d’appel. Au tarif horaire de 180 fr., l’indemnité de curateur qui doit être allouée pour la procédure d'appel s’élève à 4'595 fr. 35, soit des honoraires de 4’050 fr., auxquels s’ajoutent les débours forfaitaires de 2 %, par 81 fr., une vacation à 120 fr. et la TVA sur le tout, par 3446 fr. 35. Vu l’issue de la cause, les frais de la procédure d’appel, par 7'385 fr. 35, constitués de l’émolument de jugement et d’audience, par 2'790 fr. (art. 21 al. 1 et 2 TFIP [Tarif des frais de procédure et indemnités en matière pénale du 28 septembre 2010 ; BLV 312.03.1]) et de l’indemnité du curateur, par 4'595 fr. 35, sont mis à la charge de B.________, qui succombe (art. 428 al. 1, 1re phr. CPP). 13J010</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