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PE22.009035 vom 24. Mai 2022</w:t>
      </w:r>
    </w:p>
    <w:p>
      <w:r>
        <w:t>VD Tribunal cantonal, 2022-05-24, FR</w:t>
      </w:r>
    </w:p>
    <w:p>
      <w:r>
        <w:rPr>
          <w:b/>
        </w:rPr>
        <w:t xml:space="preserve">Quelle: </w:t>
      </w:r>
      <w:r>
        <w:t>https://mcp.opencaselaw.ch/entscheid/vd_gerichte_PE22.009035</w:t>
      </w:r>
    </w:p>
    <w:p>
      <w:r>
        <w:t>FR: VD_GERICHTE PE22.009035 du 24 mai 2022</w:t>
      </w:r>
    </w:p>
    <w:p>
      <w:r>
        <w:t>IT: VD_GERICHTE PE22.009035 del 24 maggio 2022</w:t>
      </w:r>
    </w:p>
    <w:p>
      <w:pPr>
        <w:pStyle w:val="Heading2"/>
      </w:pPr>
      <w:r>
        <w:t>Erwägungen</w:t>
      </w:r>
    </w:p>
    <w:p>
      <w:r>
        <w:rPr>
          <w:b/>
        </w:rPr>
        <w:t>E. 1</w:t>
      </w:r>
    </w:p>
    <w:p>
      <w:r>
        <w:t>Le recourant demande la récusation de la Chambre des recours pénale (recours, p. 36).</w:t>
      </w:r>
    </w:p>
    <w:p>
      <w:r>
        <w:rPr>
          <w:b/>
        </w:rPr>
        <w:t>E. 1.1</w:t>
      </w:r>
    </w:p>
    <w:p>
      <w:r>
        <w:t>Les principes régissant la récusation au sens des art. 56 ss CPP (Code de procédure pénale suisse du 5 octobre 2007 ; RS 312.0) ont déjà été énoncés dans les arrêts rendus par la Chambre de céans les 20 avril 2021 (n° 340, consid. 4.2) et 6 septembre 2021 (n° 821, consid. 2) à la suite de recours formés par D.________ dans d’autres procédures. Il n’est</w:t>
      </w:r>
    </w:p>
    <w:p>
      <w:r>
        <w:t>- 4 - pas nécessaire de les rappeler et on peut renvoyer intégralement à ces arrêts.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w:t>
      </w:r>
    </w:p>
    <w:p>
      <w:r>
        <w:rPr>
          <w:b/>
        </w:rPr>
        <w:t>E. 1.2</w:t>
      </w:r>
    </w:p>
    <w:p>
      <w:r>
        <w:t>En l’espèce, dans deux arrêts qu’elle a rendus les 6 septembre 2021 (n° 821) et 12 novembre 2021 (n° 1034), la Chambre des recours pénale a déjà déclaré irrecevables des demandes de récusation formées à son encontre par D.________. Comme elle l’a indiqué dans ces arrêts, le fait qu’elle ait pu, par le passé, rendre des arrêts en défaveur de l’intéressé ne permet pas de fonder un motif de récusation (CREP 6 septembre 2021/821 consid. 2.1 ; ATF 143 IV 69 consid. 3.1 ; TF 1B_290/2020 et 1B_311/2020 du 4 août 2020 consid. 2.6). Il en va de même s’agissant du grief que D.________ formule à l’encontre du juge cantonal [...], à qui il reproche d’avoir « soutenu un rapport attentatoire de police » dans une décision qu’il a rendue en sa qualité de juge en charge des dossiers de police judiciaire. Au vu de ce qui précède, cette nouvelle demande de récusation, manifestement abusive, est irrecevable. La Chambre des recours pénale peut donc statuer sur le recours formé par D.________ contre l’ordonnance de non-entrée en matière du 22 avril 2022.</w:t>
      </w:r>
    </w:p>
    <w:p>
      <w:r>
        <w:rPr>
          <w:b/>
        </w:rPr>
        <w:t>E. 2.1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w:t>
      </w:r>
    </w:p>
    <w:p>
      <w:r>
        <w:t>- 5 - 2009 ; BLV 312.01] ; art. 80 LOJV [Loi vaudoise d’organisation judiciaire du 12 décembre 1979 ; BLV 173.01]).</w:t>
      </w:r>
    </w:p>
    <w:p>
      <w:r>
        <w:rPr>
          <w:b/>
        </w:rPr>
        <w:t>E. 2.2</w:t>
      </w:r>
    </w:p>
    <w:p>
      <w:r>
        <w:t>Les exigences de motivation du recours (art. 385 CPP) ont déjà été énoncées dans plusieurs arrêts rendus par la Chambre de céans à la suite de recours formés par D.________ dans d’autres procédures (cf. CREP</w:t>
      </w:r>
    </w:p>
    <w:p>
      <w:r>
        <w:rPr>
          <w:b/>
        </w:rPr>
        <w:t>E. 2.3</w:t>
      </w:r>
    </w:p>
    <w:p>
      <w:r>
        <w:t>En l’espèce, dans son recours, qui comporte 347 pages en comptant ses annexes, D.________ mélange des faits relatifs aux nombreuses autres procédures qui ont été ouvertes à la suite de ses précédentes plaintes. On peine à comprendre le recourant qui s’estime victime d’une « spirale de violence » (recours, p. 8) et reproche, en substance, aux différentes personnes visées par ses plaintes successives d’avoir violé ses droits fondamentaux. S’agissant de l’ordonnance ici litigieuse, le recourant soutient sans l’étayer qu’elle ne serait pas suffisamment motivée et invoque une violation de son droit d’être entendu (recours, pt. 3.2.2.6, p. 35). Il reproche au Procureur général d’omettre « toute justification et toute motivation concernant son absence de traitement de délits et d’une succession d’actes de violence qui répriment la notification de ces délits, alors que délits et actes de violences sont démontrés méthodiquement par pièces matérielles au sein de la plainte pénale du 05.04.21 [recte : 2022] ». Ce faisant, il ne remet toutefois nullement en question l’appréciation du Procureur général qui a considéré que les faits dénoncés par D.________ dans sa plainte du 5 avril 2022 ne relevaient pas du droit pénal. Il ne développe pas ses griefs et reproduit</w:t>
      </w:r>
    </w:p>
    <w:p>
      <w:r>
        <w:t>- 6 - presque entièrement le contenu de sa plainte en renvoyant à la lecture de ses annexes, sans expliquer en quoi celles-ci devraient conduire à une appréciation différente de celle du Procureur général. Manifestement, les réquisits de l’art. 385 al. 1 CPP ne sont pas respectés. L’art. 385 al. 2 CPP ne saurait trouver application, d’autant moins que le recourant n’ignore pas les exigences de motivation, ses précédents recours ayant déjà été écartés pour ce motif (cf. CREP 6 septembre 2021/821 ; CREP 7 octobre 2021/991 ; CREP 2 novembre 2021/997 ; CREP 10 novembre 2021/1030 ; CREP 12 novembre 2021/1034). Quant aux autres conclusions prises par D.________ (n° 2 à 12, p. 40), elles ne relèvent pas de la compétence de la Chambre des recours pénale et, partant, sont également irrecevables. Enfin, en tant qu’il conclut à l’annulation de l’ordonnance rendue le 24 mars 2022 par le Ministère public de l’arrondissement de Lausanne (recours, pt. 3.2.1 p. 33 et conclusion n° 1, p. 40), le recours est tardif et partant irrecevable. Au demeurant, D.________ a déjà déposé un recours contre cette décision, lequel a été déclaré irrecevable par la Chambre des recours pénale le 27 avril 2022 (arrêt n° 293). 3. Au vu de ce qui précède, tant la demande de récusation que le recours doivent être déclarés irrecevables. La partie plaignante n’a droit à l’assistance judiciaire que si elle est indigente et si l’action civile ne paraît pas manifestement vouée à l’échec (cf. art. 136 al. 1 CPP). Au vu du sort du recours, la requête d’assistance judiciaire du recourant doit être rejetée. Les frais de procédure, constitués en l’espèce du seul émolument d’arrêt (art. 422 al. 1 CPP), par 660 fr. (art. 20 al. 1 TFIP [Tarif des frais de procédure et indemnités en matière pénale du 28 septembre 2010 ; BLV 312.03.1]), seront mis à la charge du recourant, qui doit être considéré comme ayant succombé (art. 59 al. 4 et 428 al. 1 CPP).</w:t>
      </w:r>
    </w:p>
    <w:p>
      <w:r>
        <w:t>- 7 - Par ces motifs, la Chambre des recours pénale prononce : I. La demande de récusation est irrecevable. II. Le recours est irrecevable. III. La requête d’assistance judiciaire est rejetée. IV. Les frais d’arrêt, par 660 fr. (six cent soixante francs), sont mis à la charge de D.________. V. L’arrêt est exécutoire. La présidente : La greffière :</w:t>
      </w:r>
    </w:p>
    <w:p>
      <w:r>
        <w:t>- 8 - Du Le présent arrêt, dont la rédaction a été approuvée à huis clos, est notifié, par l'envoi d'une copie complète, à : - M. D.________,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