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PE22.008824 vom 24. März 2026</w:t>
      </w:r>
    </w:p>
    <w:p>
      <w:r>
        <w:t>VD Tribunal cantonal, 2026-03-24, FR</w:t>
      </w:r>
    </w:p>
    <w:p>
      <w:r>
        <w:rPr>
          <w:b/>
        </w:rPr>
        <w:t xml:space="preserve">Quelle: </w:t>
      </w:r>
      <w:r>
        <w:t>https://mcp.opencaselaw.ch/entscheid/vd_gerichte_PE22.008824</w:t>
      </w:r>
    </w:p>
    <w:p>
      <w:r>
        <w:t>FR: VD_GERICHTE PE22.008824 du 24 mars 2026</w:t>
      </w:r>
    </w:p>
    <w:p>
      <w:r>
        <w:t>IT: VD_GERICHTE PE22.008824 del 24 marzo 2026</w:t>
      </w:r>
    </w:p>
    <w:p>
      <w:pPr>
        <w:pStyle w:val="Heading2"/>
      </w:pPr>
      <w:r>
        <w:t>Erwägungen</w:t>
      </w:r>
    </w:p>
    <w:p>
      <w:r>
        <w:rPr>
          <w:b/>
        </w:rPr>
        <w:t>E. 1.1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selon les formes prescrites, auprès de l’autorité compétente, par une partie qui a la qualité pour recourir (art. 382 al. 1 CPP), le recours est recevable.</w:t>
      </w:r>
    </w:p>
    <w:p>
      <w:r>
        <w:rPr>
          <w:b/>
        </w:rPr>
        <w:t>E. 2</w:t>
      </w:r>
    </w:p>
    <w:p>
      <w:r>
        <w:t>12J010</w:t>
      </w:r>
    </w:p>
    <w:p>
      <w:r>
        <w:t>- 5 -</w:t>
      </w:r>
    </w:p>
    <w:p>
      <w:r>
        <w:rPr>
          <w:b/>
        </w:rPr>
        <w:t>E. 2.1</w:t>
      </w:r>
    </w:p>
    <w:p>
      <w:r>
        <w:t>La recourante se plaint d’un retard injustifié dans l’instruction de la cause. Elle relève une première période de près de deux ans, entre décembre 2022 et août 2024, sans que le moindre acte d’instruction n’ait été mis en œuvre. Malgré les rappels de son conseil et du défenseur d’office du prévenu, une seconde période d’inaction serait survenue, cette fois de 14 mois, entre décembre 2024 et le jour du dépôt du recours. Elle fait valoir qu’une telle inactivité ne saurait être qualifiée de raisonnable, ce d’autant que la procédure portait sur des faits graves, soit des attouchements sexuels sur mineur.</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l’espèce, l’instruction pénale a été ouverte le 17 mai 2022. Comme l’admet la recourante, l’enquête a suivi son cours jusqu’au 14 décembre 2022, soit jusqu’au dépôt du rapport d’investigation de la police. Hormis le remplacement du défenseur d’office, aucune mesure d’instruction n’est intervenue jusqu’à la lettre du conseil de la recourante du 6 février 2024, relevant l’absence d’opérations et demandant quels étaient les prochains actes d’instruction. Le 8 mars 2024, la procureure en charge du dossier a alors requis la production du dossier de la victime par la DGEJ, l’a reçu et en a tiré des copies, qui ont été versées au dossier le 17 avril 2024. Par courrier du 23 avril 2024, le conseil de la recourante a à nouveau écrit à la procureure, en relevant que son courrier du 6 février 2024 était resté sans réponse. Une procédure de fixation de for a ensuite été effectuée selon courrier du 18 avril 2024, finalisée le 15 mai 2024. Le 15 août 2024, le défenseur d’office a déposé plusieurs réquisitions de preuve. Le Ministère public a donné suite à l’audition du témoin le 5 décembre 2024 mais ne s’est pas prononcé sur les autres mesures requises. Quelques pièces ont été versées au dossier dans l’intervalle. Dès le 6 décembre 2024, soit depuis un courrier du défenseur du prévenu s’enquérant des prochains actes d’instruction, l’enquête n’a plus avancé. Le conseil de la recourante a relancé la procureure les 30 avril et 4 novembre 2025. Le 11 novembre 2025 seulement, le Procureur D.________ a accusé réception du dernier courrier et indiqué qu’il assurait le remplacement de la procureure en charge jusqu’à la mi-janvier 2026. Le 1er décembre 2025, le conseil de la recourante a informé le procureur que sa cliente était devenue majeure et qu’elle était retournée vivre en U*** avec son père depuis quelques années. Il demandait sa désignation comme conseil juridique gratuit. En parallèle, le 12 décembre 2025, le défenseur d’office du prévenu demandait la clôture de l’enquête ou à tout le moins la mise en œuvre des réquisitions de 2024, et relevait lui aussi le manque de célérité. 12J010</w:t>
      </w:r>
    </w:p>
    <w:p>
      <w:r>
        <w:t>- 8 - L’instruction de la présente cause a effectivement souffert de plusieurs vices. Il n’a pas été répondu à plusieurs lettres de relances et de demandes d’information tant du conseil de la plaignante que du défenseur d’office du prévenu, les réquisitions de preuve formées par les parties n’ont pas toutes été traitées et, de surcroît, il ressort de ce qui a été exposé ci- dessus qu’entre 2023 et 2025, l’enquête n’a connu que quelques développements mineurs, sous forme de deux auditions et de quelques pièces versées au dossier, avec d’importants délais entre ces opérations. Dès lors, s’agissant d’une affaire impliquant une accusation d’actes d’ordre sexuel sur une mineure et de contrainte sexuelle, le déni de justice est avéré. Le congé maternité de la procureure en charge du dossier et la surcharge du greffe du Ministère public ne sont pas des éléments qui peuvent être valablement invoqués pour justifier ce retard. Compte tenu de ce qui précède, la Chambre de céans constate un retard injustifié dans l’instruction de la cause et impartit, conformément à l’art. 397 al. 4 CPP, un délai de 15 jours, dès réception du présent arrêt, au Ministère public pour adresser aux parties un avis de prochaine clôture. 3. En définitive, le recours doit être admis et le dossier de la cause renvoyé à l’autorité intimée pour qu’elle procède dans le sens des considérants qui précèdent. Le conseil de la recourante n’a pas requis sa désignation en qualité de conseil juridique gratuit pour la procédure de recours comme l’impose l’art. 136 al. 3 CPP. Toutefois, cette omission ne porte pas à conséquence eu égard à l’issue du recours. La liste d’opérations produite par Me Vladimir Chautems peut être admise et l’indemnité sera donc fixée à 876 fr., montant auquel il convient d’ajouter des débours forfaitaires à concurrence de 2 % des honoraires admis (art. 3bis al. 1 RAJ [règlement du</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12J010</w:t>
      </w:r>
    </w:p>
    <w:p>
      <w:r>
        <w:t>- 6 - 3.1).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précité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notre Haute Cour, une inactivité de 13 ou 14 mois au stade de l’instruction, un délai de quatre ans pour qu’il soit statué sur un recours contre l’acte d’accusation ou encore un délai de dix ou onze mois pour que le dossier soit transmis à l’autorité de recours apparaissent comme des carences choquantes (ATF 130 IV 54 précité consid. 3.3.3). La Chambre de céans a considéré qu’une inaction du Ministère public pendant sept mois – délai de mise en œuvre d’un inspecteur de police – et en définitive de neuf mois – délai au terme duquel aucune mesure d’instruction n’avait été effectuée –, n’était pas admissible et violait le principe de célérité (CREP 8 avril 2024/225 consid. 2).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29 mai 2019/447). Il leur appartient ainsi d’entreprendre ce qui est en leur pouvoir pour que l’autorité fasse diligence, notamment en incitant celle-ci à accélérer la procédure (mêmes arrêts). 12J010</w:t>
      </w:r>
    </w:p>
    <w:p>
      <w:r>
        <w:t>- 7 - Si l’autorité de recours constate un déni de justice ou un retard injustifié, elle peut donner des instructions à l’autorité concernée en lui impartissant des délais pour s’exécuter (art. 397 al. 4 CPP).</w:t>
      </w:r>
    </w:p>
    <w:p>
      <w:r>
        <w:rPr>
          <w:b/>
        </w:rPr>
        <w:t>E. 7</w:t>
      </w:r>
    </w:p>
    <w:p>
      <w:r>
        <w:t>décembre 2010 sur l'assistance judiciaire en matière civile ; BLV 211.02.3], applicable par renvoi de l’art. 26b TFIP [tarif des frais de procédure et indemnités en matière pénale du 28 septembre 2010 ; BLV 312.03.1]), par 17 fr. 50, plus la TVA au taux de 8,1 %, par 72 fr. 40, soit à 966 fr. au total en chiffres arrondis. 12J010</w:t>
      </w:r>
    </w:p>
    <w:p>
      <w:r>
        <w:t>- 9 - Les frais de la procédure de recours, par 1'846 fr., constitués de l’émolument d’arrêt (art. 422 al. 1 CPP), par 880 fr. (art. 20 al. 1 TFIP [Tarif des frais de procédure et indemnités en matière pénale du 28 septembre 2010 ; BLV 312.03.1]), et de l’indemnité précitée, seront laissés à la charge de l’Etat (art. 423 al. 1 CPP). Par ces motifs, la Chambre des recours pénale prononce : I. Le recours est admis. II. Il est constaté un retard injustifié dans l’instruction de la cause PE22.***. III. Un délai de 15 jours, dès réception du présent arrêt, est imparti au Ministère public de l’arrondissement de Lausanne pour adresser aux parties un avis de prochaine clôture. IV. Une indemnité de 966 fr. (neuf cent soixante-six francs) est allouée à Me Vladimir Chautems pour la procédure de recours. V. Les frais d’arrêt, par 1’846 fr. (mille huit cent quarante-six francs), y compris l’indemnité fixée sous chiffre IV ci-dessus, sont laissés à la charge de l’Etat. VI. L’arrêt est exécutoire. La présidente : Le greffier : 12J010</w:t>
      </w:r>
    </w:p>
    <w:p>
      <w:r>
        <w:t>- 10 - Du Le présent arrêt, dont la rédaction a été approuvée à huis clos, est notifié, par l'envoi d'une copie complète, à : - Me Vladimir Chautems, avocat (pour E.________), - Ministère public central, et communiqué à : - Mme la Procureure de l’arrondissement de Lausanne, - Me Alain Pichard, avocat (pour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