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PE22.008781 vom 24. Oktober 2022</w:t>
      </w:r>
    </w:p>
    <w:p>
      <w:r>
        <w:t>VD Tribunal cantonal, 2022-10-24, FR</w:t>
      </w:r>
    </w:p>
    <w:p>
      <w:r>
        <w:rPr>
          <w:b/>
        </w:rPr>
        <w:t xml:space="preserve">Quelle: </w:t>
      </w:r>
      <w:r>
        <w:t>https://mcp.opencaselaw.ch/entscheid/vd_gerichte_PE22.008781</w:t>
      </w:r>
    </w:p>
    <w:p>
      <w:r>
        <w:t>FR: VD_GERICHTE PE22.008781 du 24 octobre 2022</w:t>
      </w:r>
    </w:p>
    <w:p>
      <w:r>
        <w:t>IT: VD_GERICHTE PE22.008781 del 24 ottobre 2022</w:t>
      </w:r>
    </w:p>
    <w:p>
      <w:pPr>
        <w:pStyle w:val="Heading2"/>
      </w:pPr>
      <w:r>
        <w:t>Erwägungen</w:t>
      </w:r>
    </w:p>
    <w:p>
      <w:r>
        <w:rPr>
          <w:b/>
        </w:rPr>
        <w:t>E. 19</w:t>
      </w:r>
    </w:p>
    <w:p>
      <w:r>
        <w:t>mai 2022] ne couvr[ait] pas les faits décrits dans le complément de plainte pénale et ses annexes adressés […] le 31 mars 2022 » (P. 10/1). Il a joint à son envoi une copie de la plainte complémentaire. Par courrier du 23 juin 2022, le Ministère public a répondu au conseil de T., au sujet du complément de plainte, qu’il était désormais en possession de celle-ci, laquelle avait transité, pour une raison qu’il ignorait, auprès du Ministère public d’un autre arrondissement. La procureure a indiqué que le complément de plainte ne changeait rien à son appréciation ayant conduit à l’ordonnance de non-entrée en matière partielle rendue le 19 mai 2022 (P. 12). B. Par ordonnance du 22 août 2022, se prononçant sur les infractions de vol, de tentative de contrainte et de contrainte, le Ministère public a refusé d’entrer en matière (I) et a laissé les frais à la charge de l’Etat (II). En préambule, la procureure a exposé que le complément de plainte ne modifiait en rien l’appréciation qu’elle avait faite dans son ordonnance de non-entrée en matière partielle du 19 mai 2022.</w:t>
      </w:r>
    </w:p>
    <w:p>
      <w:r>
        <w:t>- 7 - Au sujet de la notification mutuelle de commandements de payer, la procureure a relevé que les parties étaient opposées par un profond litige relatif au déménagement. T. considérait avoir payé trop cher pour les prestations fournies lors du déménagement et avoir au demeurant subi des dégâts sur ses meubles, lesquels avaient été constatés par l’assurance responsabilité civile de la société de déménagement. Quant à B., il estimait que T. lui devait encore de l’argent. La procureure a considéré qu’il n’existait aucun indice selon lequel l’un ou l’autre aurait agi avec une intension dolosive, pour « contraindre », au sens pénal du terme, la partie adverse à payer un montant qu’elle savait indu, tout en observant qu’il aurait été plus habile de procéder par d’autres biais que par des réquisitions de poursuite. C. Par acte du 2 septembre 2022, T., par l’intermédiaire de son conseil, a interjeté recours contre cette ordonnance, en concluant, avec suite de frais et dépens, à son annulation et au renvoi de la cause au Ministère public pour ouverture d’une instruction.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- 8 - Interjeté dans le délai légal et dans les formes prescrites (art. 385 al. 1 CPP) auprès de l’autorité compétente, par la partie plaignante qui a qualité pour recourir (art. 382 al. 1 CPP), le recours de T. est recevable. 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w:t>
      </w:r>
    </w:p>
    <w:p>
      <w:r>
        <w:t>- 9 - (ATF 143 IV 241 consid. 2.2.1 ; ATF 138 IV 86 consid. 4.1 ; ATF 137 IV 219 consid. 7 et 285 consid. 2.3 ; TF 6B_196/2020 du 14 octobre 2020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3. 3.1 Dans un premier grief d’ordre formel, le recourant se plaint d’une violation de son droit d’être entendu et d’un défaut de motivation, en raison du fait que le Ministère public n’a pas examiné, dans l’ordonnance attaquée, les faits décrits sous l’angle de l’infraction d’usure. Toujours en lien avec cette infraction, il se plaint ensuite d’une violation de l’art. 310 CPP au motif que la procureure ne pouvait pas décider de ne pas entrer en matière sur sa plainte, dans la mesure où les éléments constitutifs de l’infraction seraient réalisés. Il fait valoir qu’en obtenant pour un « simple » déménagement le paiement de « 49'434 fr. 30 » (en réalité 64'434 fr. 30, correspondant au versement d’un acompte de 5'385 fr., de la somme devisée à 44'049 fr. 30 et d’un solde versé pour règlement de compte de 15'000 fr.), B. se serait rendu coupable d’usure. Selon le recourant, il serait notoire qu’un simple déménagement, même d’une certaine importance en France, ne coûterait que quelques milliers de francs et non pas près de 100'000 fr. En cas de doute sur le caractère disproportionné des prestations échangées, le Ministère public aurait dû instruire cette question. Selon T., en tentant d’obtenir la somme totale de 92'514 fr., le prévenu aurait profité de son inexpérience et de son caractère influençable et crédule en tant qu’il est retraité et n’a jamais fait appel à des déménageurs et n’a aucune expérience du monde des affaires. En cas de doute sur son état de faiblesse, le Ministère public aurait également dû investiguer cette question, par exemple, en l’auditionnant. 3.2</w:t>
      </w:r>
    </w:p>
    <w:p>
      <w:r>
        <w:t>- 10 - 3.2.1 Une autorité commet un déni de justice formel et viole l'art. 29 al. 1 Cst. lorsqu'elle n'entre pas en matière dans une cause qui lui est soumise dans les formes et délais prescrits, alors qu'elle devrait s'en saisir (ATF 142 II 154 consid. 4.2; 135 I 6 consid. 2.1; 134 I 229 consid. 2.3).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138 I 232 consid. 5.1; 137 II 266 consid. 3.2). La motivation peut d'ailleurs être implicite et résulter des différents considérants de la décision (ATF 141 V 557 consid. 3.2.1). Une autorité se rend coupable d'une violation du droit d'être entendu si elle omet de se prononcer sur des griefs qui présentent une certaine pertinence ou de prendre en considération des allégués et arguments importants pour la décision à rendre (ATF 141 V 557 consid. 3.2.1; 133 III 235 consid. 5.2). L’autorité ne commet en revanche pas de déni de justice au seul motif qu'elle n'examine pas expressément une cause sous l'angle d’une qualification juridique déterminée, alors même qu'elle a constaté que le comportement dénoncé ne relevait d'aucune infraction pénale (TF 6B_191/2021 du 11 août 2021 consid. 7.4). 3.2.2 Sous la note marginale « interdiction de la double poursuite », l’art. 11 al. 1 CPP prévoit qu’aucune personne condamnée ou acquittée en Suisse par un jugement entré en force ne peut être poursuivie une nouvelle fois pour la même infraction. Selon le principe « ne bis in idem », qui est un corollaire de l'autorité de chose jugée, nul ne peut être poursuivi ou puni pénalement par les juridictions du même Etat en raison d'une infraction pour laquelle il</w:t>
      </w:r>
    </w:p>
    <w:p>
      <w:r>
        <w:t>- 11 - a déjà été acquitté ou condamné par un jugement définitif conformément à la loi et à la procédure pénale de cet Etat (ATF 137 I 363 consid. 2.1 ; TF 6B_1053/2017 du 17 mai 2018 consid. 4.1). L’interdiction de la double poursuite constitue un empêchement de procéder qui doit être constaté d’office à chaque stade de la procédure (ATF 144 IV 362 consid. 1.3.2 ; TB 6B_303/2019 du 9 avril 2019 consid. 2.1.1).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TF 6B_1186/2014 du 3 décembre 2015 consid. 4.2 et les réf. citées).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ATF 137 I 363 consid. 2.2 ; ATF 125 II 402 consid. 1b ; TF 6B_1100/2020 du 16 décembre 2021, consid. 3.1 et 3.5.1). L’art. 11 al. 2 CPP réserve, outre la révision de la procédure (cf. art. 410 ss CPP), la reprise de la procédure close par une ordonnance de classement ou de non-entrée en matière (cf. art. 323 et 310 al. 2 CPP; ATF 144 IV 81 consid. 2.3.2). Une telle reprise peut être ordonnée lorsque le Ministère public a connaissance de nouveaux moyens de preuves ou de faits nouveaux qui révèlent une responsabilité pénale du prévenu et ne ressortent pas du dossier antérieur (art. 323 al. 1 CPP). 3.3 En l’espèce, c’est à tort que le recourant se plaint d’une violation du droit d’être entendu au motif que le Ministère public n’aurait</w:t>
      </w:r>
    </w:p>
    <w:p>
      <w:r>
        <w:t>- 12 - pas examiné les faits décrits sous l’angle de l’infraction d’usure dans l’ordonnance attaquée. La Cour de céans relève que le Ministère public a examiné tous les faits que T. a dénoncés en lien avec le coût du déménagement avant de rendre une ordonnance de non-entrée en matière partielle le 19 mai 2022. La procureure n’a pas examiné les faits sous l’angle de l’infraction d’usure dans dite ordonnance, en raison semble-t-il du fait qu’elle n’avait pas encore reçu la plainte complémentaire au moment concerné. Cela étant, T. a fait part, dans sa plainte initiale du 29 novembre 2021, de tous les éléments factuels en lien avec le coût du déménagement et il a produit toutes les pièces utiles à cet égard. Il a déclaré qu’il considérait que ces faits étaient constitutifs de tentative d’escroquerie. Dans sa plainte complémentaire du 31 mars 2022, le recourant s’est strictement référé aux faits décrits dans sa plainte initiale, ayant seulement requalifié ceux- ci, considérant qu’ils étaient constitutifs d’usure. Il n’a cependant décrit aucun fait nouveau ni n’a apporté aucun nouveau moyen de preuve en lien avec le coût du déménagement. C’est ainsi en possession de tous les éléments de fait et de preuve relatifs au coût du déménagement que la magistrate a considéré, dans son ordonnance de non-entrée en matière partielle du 19 mai 2022, que le litige opposant les parties en relation avec le coût du déménagement n’était pas constitutif d’une infraction pénale. Si elle avait considéré que les faits portés à sa connaissance, appuyés par de nombreuses pièces et ayant fait l’objet d’auditions par la police, n’étaient pas constitutifs de l’infraction de tentative d’escroquerie, mais d’usure – infraction poursuivie d’office –, elle n’aurait pas refusé d’entrer en matière sur les faits ainsi dénoncés. Elle a cependant retenu que le litige opposant les parties à ce sujet étaient de nature civile. Du reste, après avoir rendu l’ordonnance de non-entrée en matière partielle, la magistrate a, dans son courrier du 23 juin 2022, fait savoir au recourant que son complément de plainte ne changeait rien à son appréciation. C’est ce qu’elle a également précisé en préambule de l’ordonnance attaquée. Ainsi, le Ministère public n’a pas violé le droit d’être entendu de T. au seul motif qu’il n’a pas expressément examiné les faits dénoncés sous l’angle de la qualification</w:t>
      </w:r>
    </w:p>
    <w:p>
      <w:r>
        <w:t>- 13 - juridique de l’usure, alors même qu’il a constaté que le comportement dénoncé ne relevait d’aucune infraction pénale. A la lecture du recours, force est de constater que l’on ne discerne nulle part et dans aucune allégation le moindre moyen de preuve ou fait nouveau en lien avec le coût du déménagement. En d’autres termes, il n’y a pas d’éléments qui n’auraient pas déjà été investigués, qui n’étaient pas préalablement connus et qui ne ressortaient pas de la plainte initiale déposée auprès du Ministère public. Le recours déposé par T. contre l’ordonnance de non-entrée en matière rendue le 22 août 2022 s’apparente ainsi à une demande faite à l’autorité de céans d’examiner sous l’angle de l’usure des faits identiques et qui concernent les mêmes parties, sur lesquels la procureure a déjà statué dans son ordonnance de non-entrée en matière partielle du 19 mai 2022. Par conséquent, étant rappelé que le principe ne bis in idem s'attache uniquement aux faits et non à leur qualification juridique (cf. consid. 3.2 ci-dessus), il en résulte que l’ordonnance de non-entrée en matière partielle du 19 mai 2022 bénéficie de l’autorité de chose jugée en relation avec les faits relatifs à l’établissement des devis et de la facturation par [...] pour le déménagement. Il n’appartient ainsi pas à la Chambre des recours pénale, en l’absence de faits nouveaux, de statuer une nouvelle fois sur les mêmes faits et d’examiner s’ils sont constitutifs de l’infraction d’usure. Les griefs soulevés par T. en lien avec l’infraction d’usure sont ainsi mal fondés. 4. 4.1 Le recourant se plaint ensuite d’une violation de l’art. 310 CPP au motif que la procureure aurait retenu à tort que les éléments constitutifs des infractions de tentative de contrainte et de contrainte n’étaient pas réalisés. Il plaide qu’ayant payé le montant du devis de 44'049 fr. 30, plus l’acompte de 5'385 fr., il aurait soldé sa dette. Or, B. aurait fait pression sur lui pour qu’il paie la facture de 92'514 fr. envoyée</w:t>
      </w:r>
    </w:p>
    <w:p>
      <w:r>
        <w:t>- 14 - après le déménagement en le menaçant de porter atteinte à sa considération et en le menaçant d’une plainte pénale et de procédures judiciaires, ainsi qu’en déposant une réquisition de poursuite à son encontre. Le recourant soutient qu’ayant été alarmé par ces menaces, il se serait dessaisi de 15'000 fr. pour « fermer la facture ». 4.2 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w:t>
      </w:r>
    </w:p>
    <w:p>
      <w:r>
        <w:t>- 15 - septembre 2022 consid. 5.1.2 ; TF 6B_1396/2021 du 28 juin 2022 consid. 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6B_415/2018 précité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6B_1407/2022 du 7 novembre 2022 consid. 2.1 et les réf. citées).</w:t>
      </w:r>
    </w:p>
    <w:p>
      <w:r>
        <w:t>- 16 -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 4.3 En l’occurrence, la Cour de céans considère, comme le Ministère public, que les parties sont divisées par un litige civil, chacune se plaignant d’une mauvaise exécution du contrat de déménagement par l’autre. Comme établi par les éléments du dossier, en particulier les auditions menées par la police, le déménagement a été émaillé de difficultés, lesquelles pourraient expliquer le surcoût. Les dégâts et pertes dont se plaint le recourant sont quant à elles attestées par l’expertise établie. Il s’agit cependant de difficultés courantes en lien avec l’exécution d’un contrat de déménagement. Les parties ont fait preuve d’imprudence en ne dressant aucun inventaire, particulièrement des objets précieux, ou encore en n’évaluant pas de manière rigoureuse l’ampleur du déménagement et, partant, son coût. En tant que le déménageur cherche à récupérer sa créance, à tort ou à raison, les agissements dénoncés ne sont pas constitutifs de tentative de contrainte ou de contrainte. Contrairement à ce qu’affirme le recourant, on ne voit pas en quoi, dans les courriels qu’il a reçus de [...] les 4 juillet 2021 et 26 janvier 2022 – certes rédigés en des termes peu raffinés – il aurait été menacé d’un dommage sérieux ou entravé d’une quelconque manière dans sa liberté d’action au sens de la jurisprudence rappelée supra (cf. consid. 4.2). D’abord, contrairement à ce qu’il affirme, l’intéressé n’a pas été menacé d’être atteint dans sa considération. Dans le courriel du 4 juillet 2021, c’est précisément ce qui lui est reproché par [...] et non l’inverse. Ensuite, les avertissements qui ont été donnés au recourant d’intenter des procédures à son encontre demeurent licites, dès lors qu’ils étaient en rapport avec l’exécution du contrat de déménagement. S’agissant de la notification d’un commandement de payer portant sur la somme de 28'080 fr., la démarche est également licite, puisque le montant correspond au solde de la créance réclamée – équivalant au montant de la facture de 92'514 fr. 30 à laquelle ont été soustraites les sommes déjà</w:t>
      </w:r>
    </w:p>
    <w:p>
      <w:r>
        <w:t>- 17 - payées (5'385 fr. + 44'049 fr. 30 + 15'000 fr.) – ; en tout état de cause, vu les montants en jeu et les surcoûts allégués par rapport aux travaux devisés, il n’apparaît pas que ce moyen est disproportionné. La Cour de céans relève, du reste, que T. a été le premier à déposer une plainte pénale à l’encontre de B. et [...] et qu’il a lui-même fait notifier un commandement de payer à chacun des précités pour le montant de 100'000 fr., alors que le dommage dont il se plaint a été estimé selon l’expertise dont il se prévaut à 12'435 EUR. S’agissant enfin de la somme de 15'000 fr. que le recourant a versée à [...], rien n’indique qu’il a agi sous la menace d’un dommage sérieux ou alors qu’il était entravé dans sa liberté d’action. Il apparaît plutôt que le recourant entendait trouver un accord avec le déménageur afin de solder sa dette, par la suite remis en question par ce dernier. Ces questions doivent se régler devant la justice civile. Le moyen est par conséquent infondé. 5. Compte tenu de ce qui précède, le recours, manifestement mal fondé, doit être rejeté sans échange d’écritures (art. 390 al. 2 CPP), et l’ordonnance litigieuse confirmée. Les frais de la procédure de recours, constitués du seul émolument d’arrêt, par 1’760 fr. (art. 20 al. 1 TFIP [tarif des frais judiciaires et indemnité en matière pénale du 28 septembre 2010 ; BLV 312.03.1]), seront mis à la charge du recourant, qui succombe (art. 428 al. 1 CPP). Par ces motifs, la Chambre des recours pénale prononce : I. Le recours est rejeté. II. L’ordonnance du 22 août 2022 est confirmée.</w:t>
      </w:r>
    </w:p>
    <w:p>
      <w:r>
        <w:t>- 18 - III. Les frais d’arrêt, par 1’760 fr. (mille sept cent soixante francs), sont mis à la charge du recourant. IV. L’arrêt est exécutoire. La présidente : La greffière : Du Le présent arrêt, dont la rédaction a été approuvée à huis clos, est notifié, par l'envoi d'une copie complète, à : - Me Elodie Gallaroti, avocate (pour T.), - B., - Ministère public central, et communiqué à : - Madame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