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PE22.008472 vom 24. Mai 2022</w:t>
      </w:r>
    </w:p>
    <w:p>
      <w:r>
        <w:t>VD Tribunal cantonal, 2022-05-24, FR</w:t>
      </w:r>
    </w:p>
    <w:p>
      <w:r>
        <w:rPr>
          <w:b/>
        </w:rPr>
        <w:t xml:space="preserve">Quelle: </w:t>
      </w:r>
      <w:r>
        <w:t>https://mcp.opencaselaw.ch/entscheid/vd_gerichte_PE22.008472</w:t>
      </w:r>
    </w:p>
    <w:p>
      <w:r>
        <w:t>FR: VD_GERICHTE PE22.008472 du 24 mai 2022</w:t>
      </w:r>
    </w:p>
    <w:p>
      <w:r>
        <w:t>IT: VD_GERICHTE PE22.008472 del 24 maggio 2022</w:t>
      </w:r>
    </w:p>
    <w:p>
      <w:pPr>
        <w:pStyle w:val="Heading2"/>
      </w:pPr>
      <w:r>
        <w:t>Volltext</w:t>
      </w:r>
    </w:p>
    <w:p>
      <w:r>
        <w:t>TRIBUNAL CANTONAL 365 PE22.008472-DBT CHAMBRE DE S RECO URS PEN ALE __________________________________________ Arrêt du 24 mai 2022 __________________ Composition : Mme B Y R D E, présidente Mme Fonjallaz et M. Meylan, juges Greffier : M. Ritter ***** Art. 221 al. 1 let. b et c CPP Statuant sur le recours interjeté le 19 mai 2022 par N.________ contre l’ordonnance rendue le 12 mai 2022 par le Tribunal des mesures de contrainte dans la cause n° PE22.008472-DBT, la Chambre des recours pénale considère : En fait : A. a) Le Ministère public de l’arrondissement de Lausanne (ci- après : Ministère public) conduit une instruction pénale contre N.________, né en 2000, ressortissant somalien, au bénéfice d’une admission temporaire (permis F). Les chefs de prévention sont ceux de lésions corporelles simples (art. 123 ch. 1 CP [Code pénal; RS 312.0]), de 351</w:t>
      </w:r>
    </w:p>
    <w:p>
      <w:r>
        <w:t>- 2 - dommages à la propriété (art. 144 al. 1 CP), d’incendie intentionnel (art. 221 al. 1 CP) et de contravention à la loi fédérale sur les stupéfiants (art. 19a ch. 1 LStup [Loi fédérale sur les stupéfiants; RS 812.121]). Il est reproché au prévenu ce qui suit : - de consommer de manière récurrente de la marijuana; - d’avoir, à Yverdon-les-Bains, sur la [...], le 3 avril 2022, vers 2 h 25, porté un violent coup de poing au visage du plaignant [...], le faisant chuter et lui occasionnant une tuméfaction de l’œil et de la pommette gauche, ce qui a nécessité deux points de suture à la pommette gauche; - d’avoir, à Yverdon-les-Bains, à [...], le 6 mai 2022 au matin, bouté volontairement le feu à des cartons se trouvant devant le magasin [...], ce qui a nécessité l’intervention des pompiers. b) L’extrait du casier judiciaire du prévenu comporte les condamnations suivantes : - 31 août 2017, Tribunal des mineurs, peine privative de liberté d’un mois selon le droit pénal des mineurs, avec sursis pendant un mois (sursis révoqué), pour injure, contrainte, émeute, violence ou menace contre les autorités et les fonctionnaires, conducteur se trouvant dans l’incapacité de conduire, vol d’usage d’un véhicule automobile, conduite sans permis de conduire, contravention à la loi fédérale sur le transport des voyageurs, délit et contravention contre la loi fédérale sur les stupéfiants, instigation à vol, vol, dommages à la propriété et recel; - 13 juin 2018, Tribunal des mineurs, agression, peine privative de liberté de deux mois selon le droit pénal des mineurs (libération conditionnelle, assistance de probation et règles de conduite), pour vol d’importance mineure, contrainte, infractions à la Loi fédérale sur la circulation routière, contravention à la loi fédérale sur le transport des voyageurs et contravention à la loi fédérale sur les stupéfiants; - 18 février 2019, Ministère public de l’arrondissement du Nord vaudois, peine privative de liberté de 20 jours, pour vol. N.________ fait en outre l’objet de trois autres enquêtes pénales, ouvertes les 6 juillet, 4 août et 16 septembre 2020, notamment pour brigandage. En particulier, le Tribunal correctionnel de</w:t>
      </w:r>
    </w:p>
    <w:p>
      <w:r>
        <w:t>- 3 - l’arrondissement de la Broye et du Nord vaudois l’a, par jugement du 21 février 2022, dont les motifs lui ont été envoyés pour notification le 9 mars 2022, condamné à une peine privative de liberté de 14 mois, sous déduction d’un jour de détention avant jugement, pour injure, émeute, violence ou menace contre les autorités et les fonctionnaires, violence ou menace contre les autorités et les fonctionnaires commise par une foule ameutée, empêchement d’accomplir un acte officiel, violation grave des règles de la circulation routière, conduite d’un véhicule défectueux, conduite d’un véhicule automobile sans le permis de conduire requis, conduite sans permis de circulation et sans assurance-responsabilité civile et contravention à l’ordonnance sur les règles de la circulation routière; le prévenu est mis en cause notamment pour avoir, durant une émeute, fait usage d’engins pyrotechniques à l’encontre de la police. Ce jugement fait l’objet d’un appel, pendant devant la Cour d’appel pénale du Tribunal cantonal (cf. PV aud. du 10 mai 2022, R. 3, p. 2). c) Le prévenu a été appréhendé le 10 mai 2022. L’audition d’arrestation par le Ministère public a eu lieu le lendemain 11 mai 2022. Quant au grief d’incendie intentionnel, le prévenu a reconnu s’être dirigé vers les cartons qui ont brûlé, en indiquant ce qui suit : « (…) je n’ai pas mis le feu volontairement. Je suis allé faire pipi vers les cartons. J’étais bourré. (…) j’ai peut-être lancé un mégot de cigarette dans le carton » (PV aud., p. 2 ll. 41 ss). Pour le surplus, le prévenu a indiqué avoir asséné un coup de poing au plaignant au prétexte que ce dernier avait été irrespectueux envers sa religion en disant une phrase du genre « Allahou akbar » (PV aud., ll. 46 ss). Enfin, le prévenu a contesté son implication dans les onze incendies commis à Yverdon-les-Bains les 31 octobre, 10 et 24 décembre 2021, ainsi que les 22 février, 5 et 25 mars, 23, 28 et 29 avril et 1er et 6 mai 2022 (PV aud., p. 6 à 8). Le prévenu a enfin reconnu consommer des stupéfiants (PV aud., p. 9). d) Par demande motivée du 11 mai 2022 à 14 h 59, le Ministère public a proposé au Tribunal des mesures de contrainte d’ordonner la détention provisoire du prévenu pour une durée de trois</w:t>
      </w:r>
    </w:p>
    <w:p>
      <w:r>
        <w:t>- 4 - mois. La Procureure invoquait les risques de fuite et de réitération, tout en estimant que le principe de proportionnalité était respecté. e) Comparaissant assisté de son défenseur, le prévenu a été entendu par la Présidente du Tribunal des mesures de contrainte le 12 mai 2022. Il a notamment admis avoir asséné un coup de poing au visage de [...], le 3 avril 2022. Il a conclu principalement à sa libération immédiate et, subsidiairement, à la mise en place de mesures de substitution à forme d’une obligation de présentation régulière aux autorités et, le cas échéant, d’élire domicile chez sa mère à Yverdon-les-Bains. B. Par ordonnance du 12 mai 2022, le Tribunal des mesures de contrainte a prononcé la détention provisoire du prévenu (I), a fixé la durée maximale de celle-ci à un mois, soit au plus tard jusqu’au 10 juin 2022 (II), et a dit que les frais de son ordonnance, par 825 fr., suivaient le sort de la cause (III). Retenant des soupçons suffisants de culpabilité, le Tribunal des mesures de contrainte a considéré que le prévenu présentait un risque de collusion et un risque de réitération qu’aucune mesure de substitution n’était susceptible de prévenir. L’autorité n’a pas examiné le risque de fuite. C. Par acte du 19 mai 2022, N.________, agissant par son défenseur, a recouru auprès de la Chambre des recours pénale contre cette ordonnance, en concluant, sous suite de frais et dépens, à son annulation, sa libération immédiate étant ordonnée. Subsidiairement, le recourant a conclu au prononcé, en lieu et place de la détention provisoire, d’une mesure de substitution sous la forme d’une obligation de se présenter régulièrement à un service administratif. Il a requis l’assistance judiciaire sous la forme de la désignation de son mandataire comme défenseur d’office pour la procédure de recours. Il n’a pas été ordonné d’échange d’écritures.</w:t>
      </w:r>
    </w:p>
    <w:p>
      <w:r>
        <w:t>- 5 - D. Par ordonnance du 20 mai 2022, le Ministère public a désigné Me Maxime Darbellay en qualité de défenseur d’office du prévenu. En d roit : 1. 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3. 3.1 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 L'intensité des charges propres à motiver un maintien en détention provisoire n'est pas la même aux divers stades de l'instruction</w:t>
      </w:r>
    </w:p>
    <w:p>
      <w:r>
        <w:t>- 6 -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 3.2 En l’espèce, le recourant conteste d’abord l’existence de tout soupçon suffisant de commission du crime d’incendie intentionnel. Contrairement à ce que soutient le recourant, il suffit, sous l’angle de l’examen des conditions de la détention provisoire, de constater qu’il existe des indices convergents portant sur cette infraction qui permettent, à ce stade, de fonder des soupçons suffisants. Il ressort en effet du dossier que le prévenu est le seul à s’être approché des cartons qui ont pris feu et qui sont à l’origine de l’incendie. Il s’est certes, comme il l’affirme, écoulé un peu plus de vingt minutes entre le moment où il s’est approché des cartons, puis s’en est allé, et le moment où les lueurs d’incendie ont été visibles. Pour autant, cela ne permet pas d’exclure le rôle du prévenu dans le départ du feu vu la durée présumable de l’extension du brasier, étant rappelé qu’il a été interpellé en possession de trois briquets. Par ailleurs, l’enquête n’est pas suffisamment avancée pour pouvoir exclure un acte intentionnel, même si le prévenu a pu paraître surpris lors de son audition et qu’il a précisé que,</w:t>
      </w:r>
    </w:p>
    <w:p>
      <w:r>
        <w:t>- 7 - s’il était à l’origine de l’incendie, cela ne pouvait être que de la négligence de sa part. Il s’ensuit qu’à ce stade de l’enquête, des soupçons suffisants d’infraction d’incendie intentionnel existent à l’égard du prévenu à raison du départ de feu du 6 mai 2022. A cela s’ajoute, comme déjà indiqué, qu’une importante série d’incendies intentionnels a frappé le centre d’Yverdon-les-Bains du 31 octobre 2021 au 1er mai 2022, aux mêmes heures de la nuit que dans le cas précité et à proximité des lieux de vie du recourant. Certes, pour ce qui concerne le premier incendie seulement, le recourant était détenu en exécution de peine jusqu’au 1er novembre 2021 (cf. l’attestation de l’Office d’exécution des peines du 25 mai 2022). Pour les autres cas, ces coïncidences ne manquent pas d’interpeller. Il n’est donc pas exclu que l’enquête soit étendue à ces épisodes. En outre, le prévenu a de nombreux antécédents et il est mis en cause pour avoir asséné un violent coup de poing le 3 avril 2022 à [...], même s’il prétend avoir été provoqué. Dans ces circonstances, des soupçons sérieux d’infractions sont établis. La première condition de l’art. 221 al. 1 CPP est ainsi réalisée. 4. 4.1 Le recourant conteste ensuite que les risques de collusion et de réitération soient réalisés. 4.2 4.2.1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w:t>
      </w:r>
    </w:p>
    <w:p>
      <w:r>
        <w:t>- 8 - aussi en considération la nature et l'importance des déclarations, respectivement des moyens de preuves susceptibles d'être menacés, la gravité des infractions en cause et le stade de la procédure (ATF 137 IV 122 consid. 4.2 prévenu. 127 ss; ATF 132 I 21 consid. 3.2 prévenu. 23 ss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 4.2.2 L'art. 221 al. 1 let. c CPP pose trois conditions pour admettre un risque de récidive, soit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w:t>
      </w:r>
    </w:p>
    <w:p>
      <w:r>
        <w:t>- 9 -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 4.3 4.3.1 Il est vrai, comme le relève le recourant, que le Ministère public a fondé sa demande de mise en détention sur le risque de fuite et le risque de réitération et que le Tribunal des mesures de contrainte a retenu les risques de collusion et de réitération. Toutefois, ce point n’est pas déterminant, dès lors que le Tribunal des mesures de contrainte est lié par les conclusions du Ministère public, mais pas par les motifs invoqués (ATF 147 IV 336 consid. 2.3 et la jurisprudence citée). Qui plus est, la Chambre de céans examine librement, en fait et en droit, si les conditions de la détention provisoire persistent au moment où elle rend sa décision. Elle dispose à cet égard d’un pouvoir de cognition complet (art. 393 al. 2 CPP). Enfin, le recourant s’est exprimé sur ces trois risques en cause, de sorte que l’on ne voit pas en quoi ses droits auraient pu être touchés. Mal fondé, cet argument doit être rejeté. 4.3.2 S’agissant de l’incendie du 6 mai 2022, différentes traces ont été relevées. Toutefois, les autres protagonistes qui étaient avec le prévenu le 6 mai 2022 doivent être entendus. S’agissant des autres incendies survenus entre le 31 octobre 2021 et le 1er mai 2022 selon le rapport d’investigation, il y a lieu de vérifier si le prévenu est impliqué dans leur commission, hormis, comme déjà relevé, celui du 31 octobre 2021, lors duquel le recourant était détenu. Il doit être précisé que</w:t>
      </w:r>
    </w:p>
    <w:p>
      <w:r>
        <w:t>- 10 - certains incendies sont le fait de plusieurs individus. Partant, il est important d’éviter que le prévenu puisse, le cas échéant, prendre contact avec eux. Par ailleurs, s’agissant des faits du 2 mars 2022, [...], qui était avec [...] lors des faits, ne semble pas avoir encore été entendu, alors même qu’il serait vraisemblablement à même de donner des informations quant au déroulement de l’altercation. En d’autres termes, des nombreuses vérifications doivent encore être entreprises par les enquêteurs. Il est dès lors primordial que le prévenu ne puisse pas interférer dans la recherche de la vérité de quelque manière que ce soit, ce notamment en tentant d’influencer des témoins. Le risque de collusion est donc concret. 4.3.3 Malgré son jeune âge, le prévenu a déjà été condamné à trois reprises, pour des infractions diverses et notamment avec violence. En outre, plusieurs autres procédures pénales sont ouvertes contre lui. Le dernier jugement rendu contre lui, ses antécédents et les autres procédures ouvertes contre lui ne l’ont pas empêché de s’en prendre à l’intégrité physique d’autrui, notamment. Il est donc fortement à craindre que, une fois libéré, il s’en prenne aux mêmes biens juridiquement protégés que sont en particulier l’intégrité corporelle, la liberté et la propriété. L’intéressé a en outre donné des renseignements fantaisistes au sujet de ses revenus et de la manière dont il peut s’acheter les stupéfiants qu’il consomme. Dans ces conditions, il est à craindre qu’il se retrouve dans les mêmes conditions (désœuvrement, consommation de produits stupéfiants ou d’alcool, notamment) que celles qui ont mené aux actes qui lui sont reprochés. Enfin, les infractions qui lui sont reprochées dans la présente enquête sont graves et le fait que le prévenu va bientôt être père ne semble pas être de nature à « le calmer » comme il le soutient. Il s’ensuit qu’il existe également un risque de réitération. 5. 5.1 Le recourant demande que des mesures de substitution soient prononcées, notamment sous la forme de l’obligation de se présenter régulièrement à un service administratif. Il conteste être une menace concrète pour la sécurité physique d’autrui. Il invoque que sa détention</w:t>
      </w:r>
    </w:p>
    <w:p>
      <w:r>
        <w:t>- 11 - provisoire provoquera des conséquences difficilement réparables pour lui et sa famille, « en particulier sa copine qui est actuellement enceinte »; il serait en outre sur le point de signer un contrat de travail; sa détention interviendrait donc « au pire moment ». 5.2 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5.3 Une mesure de substitution selon l’art. 237 CPP sous la forme d’une obligation de se présenter à un office voire à la police, ou le port du</w:t>
      </w:r>
    </w:p>
    <w:p>
      <w:r>
        <w:t>- 12 - bracelet électronique ne permettrait pas de pallier les risques de collusion ou de réitération. En effet, elles ne permettraient que de constater a posteriori que le recourant les aurait transgressées, d’une part; d’autre part, l’obligation de se présenter à un office ou l’interdiction de contacter certaines personnes ne reposeraient que sur la volonté du recourant de s’y soumettre, ce qui ne saurait suffire au vu du peu de respect que l’intéressé a envers les décisions de justice ainsi que les autorités et les fonctionnaires. Du reste, il ne s’est pas présenté à la convocation de la gendarmerie pour être entendu sur les faits du 3 avril 2022. Quant au fait qu’il soit sur le point de conclure un contrat de travail, il ne ressort pas de ses déclarations à la police, qu’il offre comme preuve; il en ressort seulement que, à sa date de son audition, le recourant était en stage depuis deux à trois semaines dans une entreprise multi-services. Enfin, s’il est vrai que le recourant est bien le père de l’enfant à naître de [...] – ce qui ne ressort d’aucune pièce du dossier –, de son propre aveu il ne vit pas avec celle-ci; en outre il ne peut s’en prendre qu’à lui-même si sa détention intervient à ce moment. Partant, les mesures proposées ou d’autres mesures similaires ne seraient pas suffisantes. Enfin, la détention (initiale) a été ordonnée pour un mois, de sorte que la durée de celle-ci est proportionnée selon l’art. 212 al. 3 CPP au vu des infractions envisagées (cf. ATF 143 IV 168 consid. 5.1). 6. Il résulte de ce qui précède que le recours, manifestement mal fondé, doit être rejeté, sans échange d’écritures (art. 390 al. 2 CPP), et l’ordonnance du 12 mai 2022 confirmée. La requête tendant à la désignation du représentant du recourant comme défenseur d’office est privée d’objet par l’ordonnance du 20 mai 2022, par laquelle le Ministère public a désigné Me Maxime Darbellay en qualité de défenseur d’office du prévenu. En effet, il suffit à cet égard de relever que la désignation déjà décidée par la Procureure à un stade antérieur de la procédure pénale (soit du prononcé du présent arrêt) déploie ses effets dans la présente procédure de recours (cf. Moreillon/Parein-Reymond, op. cit., n. 2 ad art.</w:t>
      </w:r>
    </w:p>
    <w:p>
      <w:r>
        <w:t>- 13 - 132 CPP; CREP 19 avril 2017/240 consid. 4; CREP 29 août 2016/580 consid. 3, 2e par. in fine). Les frais de la procédure de recours, par 1'320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12 mai 2022 est confirmée. III. L’indemnité allouée au défenseur d’office de N.________ est fixée à 594 fr. (cinq cent nonante-quatre francs). IV. Les frais d’arrêt, par 1'320 fr. (mille trois cent vingt francs), ainsi que l’indemnité due au défenseur d’office de N.________, par 594 fr. (cinq cent nonante-quatre francs), sont mis à la charge de ce dernier. V. Le remboursement à l'Etat de l'indemnité allouée au chiffre III ci-dessus ne sera exigible que pour autant que la situation financière de N.________ le permette.</w:t>
      </w:r>
    </w:p>
    <w:p>
      <w:r>
        <w:t>- 14 - VI. L’arrêt est exécutoire. La présidente : Le greffier : Du Le présent arrêt, dont la rédaction a été approuvée à huis clos, est notifié, par l'envoi d'une copie complète, à : - Me Maxime Darbellay, avocat (pour N.________), - Ministère public central, et communiqué à : - Mme la Présidente du Tribunal des mesures de contrainte, - Mme la Procureure de l’arrondissement de Lausanne, par l’envoi de photocopies.</w:t>
      </w:r>
    </w:p>
    <w:p>
      <w:r>
        <w:t>- 15 -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