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PE22.008441 vom 6. Dezember 2024</w:t>
      </w:r>
    </w:p>
    <w:p>
      <w:r>
        <w:t>VD Tribunal cantonal, 2024-12-06, FR</w:t>
      </w:r>
    </w:p>
    <w:p>
      <w:r>
        <w:rPr>
          <w:b/>
        </w:rPr>
        <w:t xml:space="preserve">Quelle: </w:t>
      </w:r>
      <w:r>
        <w:t>https://mcp.opencaselaw.ch/entscheid/vd_gerichte_PE22.008441</w:t>
      </w:r>
    </w:p>
    <w:p>
      <w:r>
        <w:t>FR: VD_GERICHTE PE22.008441 du 6 décembre 2024</w:t>
      </w:r>
    </w:p>
    <w:p>
      <w:r>
        <w:t>IT: VD_GERICHTE PE22.008441 del 6 dicembre 2024</w:t>
      </w:r>
    </w:p>
    <w:p>
      <w:pPr>
        <w:pStyle w:val="Heading2"/>
      </w:pPr>
      <w:r>
        <w:t>Erwägungen</w:t>
      </w:r>
    </w:p>
    <w:p>
      <w:r>
        <w:rPr>
          <w:b/>
        </w:rPr>
        <w:t>E. 1</w:t>
      </w:r>
    </w:p>
    <w:p>
      <w:r>
        <w:t>Interjeté dans les formes et délais légaux (art. 385 et 399 CPP), par le prévenu ayant qualité pour recourir (art. 382 al. 1 CPP), contre le jugement d’un tribunal de première instance qui a clos la procédure (art. 398 al. 1 CPP), l’appel est recevable.</w:t>
      </w:r>
    </w:p>
    <w:p>
      <w:r>
        <w:t>- 11 -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conteste sa condamnation pour inobservation des prescriptions légales sur la protection des locataires d’habitations et de locaux commerciaux à raison des faits décrits sous cas 1 de l’acte d’accusation (cf. supra ch. 2.2.1). Il soutient qu’une condamnation serait exclue à ce stade, la procédure d’appel étant toujours pendante, de sorte que la décision rendue par le Tribunal des baux le 9 janvier 2023, déclarant nulle la résiliation, n’est ni définitive, ni exécutoire.</w:t>
      </w:r>
    </w:p>
    <w:p>
      <w:r>
        <w:rPr>
          <w:b/>
        </w:rPr>
        <w:t>E. 3.1.1</w:t>
      </w:r>
    </w:p>
    <w:p>
      <w:r>
        <w:t>; TF 6B_1254/2019 précité consid. 6.1).</w:t>
      </w:r>
    </w:p>
    <w:p>
      <w:r>
        <w:rPr>
          <w:b/>
        </w:rPr>
        <w:t>E. 3.2.1</w:t>
      </w:r>
    </w:p>
    <w:p>
      <w:r>
        <w:t>A teneur de l’art. 325quater al. 2 aCP (Code pénal suisse du 21 décembre 1937 ; RS 311.0) – dans sa teneur en vigueur jusqu'au 30 juin 2023 (RO 2023 p. 259 ; FF 2018 p. 2889), le nouveau droit n’étant pas plus favorable à l’appelant (cf. art. 2 al. 2 CP) –, celui qui aura dénoncé le bail parce que le locataire sauvegarde ou se propose de sauvegarder les droits que lui confère le Code des obligations, sera, sur plainte du locataire, puni d’une amende.</w:t>
      </w:r>
    </w:p>
    <w:p>
      <w:r>
        <w:t>- 12 -</w:t>
      </w:r>
    </w:p>
    <w:p>
      <w:r>
        <w:rPr>
          <w:b/>
        </w:rPr>
        <w:t>E. 3.2.2</w:t>
      </w:r>
    </w:p>
    <w:p>
      <w:r>
        <w:t>Le premier juge a relevé que l’appelant ne contestait pas avoir résilié le bail de L.________ et qu’à l’examen du dossier, il était manifeste que ce congé était la conséquence des prétentions émises par son locataire à la suite des mauvaises odeurs qui avaient envahi son établissement public. On se trouvait dès lors de toute évidence dans un cas de « congé-représailles », contraire aux règles les plus élémentaires du droit du bail. Le congé, qui avait au demeurant été annulé par le Tribunal des baux, était en relation de cause à effet avec les prétentions légitimes émises par le locataire.</w:t>
      </w:r>
    </w:p>
    <w:p>
      <w:r>
        <w:rPr>
          <w:b/>
        </w:rPr>
        <w:t>E. 3.3</w:t>
      </w:r>
    </w:p>
    <w:p>
      <w:r>
        <w:t>En l’espèce, l’argument de l’appelant est sans pertinence. En effet, le texte légal de l’art. 325quater al. 2 CP ne fait pas dépendre une condamnation de la constatation judiciaire par le juge civil du bien-fondé de la prétention du locataire. Bien plus, selon la doctrine, il n’est même pas requis que cette prétention existe : il suffit qu’elle soit invoquée de bonne foi par le locataire (Wohlers/Godenzi/Schlegel, Schweizerisches Strafgesetzbuch – Handkommentar, 5e éd., 2024, n. 4 ad art. 325quater CP). Pour le reste, la causalité entre les revendications du locataire et le congé du bailleur n’est pas contestée. Le grief de l’appelant doit donc être rejeté et sa condamnation pour inobservation des prescriptions légales sur la protection des locataires d’habitations et de locaux commerciaux à raison des faits décrits sous cas 1 de l’acte d’accusation (cf. supra ch. 2.2.1) confirmée.</w:t>
      </w:r>
    </w:p>
    <w:p>
      <w:r>
        <w:rPr>
          <w:b/>
        </w:rPr>
        <w:t>E. 4.1</w:t>
      </w:r>
    </w:p>
    <w:p>
      <w:r>
        <w:t>L’appelant conteste sa condamnation pour violation de domicile et contrainte à raison des faits décrits sous chiffres 2, respectivement 3 de l’acte d’accusation (cf. supra ch. 2.2.2 et 2.2.3). Il soutient qu’il n’aurait pas eu d’autre choix que de changer les cylindres afin d’accéder au local dans lequel se trouvait le compteur, dans le but de vérifier son état et de pouvoir établir les décomptes annuels de l’ensemble de ses locataires, puisque le plaignant aurait refusé, à maintes reprises, de lui donner accès à ce compteur. L’appelant affirme qu’il n’aurait pas</w:t>
      </w:r>
    </w:p>
    <w:p>
      <w:r>
        <w:t>- 13 - pénétré dans ledit local, ni n’aurait fait changer les cylindres à l’intérieur du café exploité par le plaignant. L’appelant soutient en outre qu’il n’a pas eu recours à un moyen de contrainte illicite et que quoi qu’il en soit, la partie plaignante n’aurait pas été empêchée d’accéder à son local dès lors qu’il lui suffisait, pour ce faire, de réclamer la clé à l’appelant. En tout état de cause, il se prévaut d’un fait justificatif.</w:t>
      </w:r>
    </w:p>
    <w:p>
      <w:r>
        <w:rPr>
          <w:b/>
        </w:rPr>
        <w:t>E. 4.2.1.1</w:t>
      </w:r>
    </w:p>
    <w:p>
      <w:r>
        <w:t>Se rend coupable de contrainte selon l’art. 181 aCP – dans sa teneur en vigueur jusqu'au 30 juin 2023 (RO 2023 p. 259 ; FF 2018 p. 2889), le nouveau droit n’étant pas plus favorable à l’appelant (cf. art. 2 al. 2 CP) –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w:t>
      </w:r>
    </w:p>
    <w:p>
      <w:r>
        <w:t>- 14 -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w:t>
      </w:r>
    </w:p>
    <w:p>
      <w:r>
        <w:rPr>
          <w:b/>
        </w:rPr>
        <w:t>E. 4.2.1.2</w:t>
      </w:r>
    </w:p>
    <w:p>
      <w:r>
        <w:t>A teneur de l’art. 186 aCP – dans sa teneur en vigueur jusqu’au 30 juin 2023 (RO 2023 p. 259 ; FF 2018 p. 2889), le nouveau droit n’étant pas plus favorable à l’appelant (cf. art. 2 al. 2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- 15 - La notion de maison englobe le bâtiment, ses dépendances et tout local durablement fixé au sol dont une personne peut disposer librement et sans être troublée dans sa possession. Elle est donc très large. Peu importe sa destination. Il peut notamment s’agir de locaux commerciaux (Dupuis et al. [éd.], Petit commentaire, Code pénal, 2e éd., Bâle 2017, n. 9 ad art. 186 CP). L’ayant droit est celui qui a le pouvoir de disposer des lieux, que ce soit en vertu d’un droit réel, d’un droit personnel ou d’un rapport de droit public. Dans le cadre d’un bail à loyer ou à ferme, c’est le locataire, respectivement le fermier, qui possède la qualité d’ayant droit, à l’exclusion du propriétaire des lieux (idem, nn. 20 et 21 ad art. 186 CP). Le comportement n’est pas illicite lorsque l’auteur est au bénéfice d’un fait justificatif (idem, n. 31 ad art. 186 CP). L’infraction est intentionnelle. Le dol éventuel suffit.</w:t>
      </w:r>
    </w:p>
    <w:p>
      <w:r>
        <w:rPr>
          <w:b/>
        </w:rPr>
        <w:t>E. 4.2.2</w:t>
      </w:r>
    </w:p>
    <w:p>
      <w:r>
        <w:t>Le premier juge a relevé que l’appelant ne contestait pas avoir changé les cylindres des portes de l’établissement public loué au plaignant et qu’il avait de la sorte empêché ce dernier d’y accéder, sans que l’appelant puisse se prévaloir d’un quelconque fait justificatif ou état de nécessité. Il ressortait par ailleurs du témoignage du serrurier X.________ que celui-ci avait dû revenir le lendemain des faits pour remplacer la serrure du bureau, ce qui impliquait nécessairement que l’appelant avait pénétré au préalable dans les locaux pour changer ladite serrure.</w:t>
      </w:r>
    </w:p>
    <w:p>
      <w:r>
        <w:rPr>
          <w:b/>
        </w:rPr>
        <w:t>E. 4.3</w:t>
      </w:r>
    </w:p>
    <w:p>
      <w:r>
        <w:t>Les griefs de l’appelant sont vains. Comme l’a relevé le premier juge, l’intéressé a commis un acte de justice propre. La nécessité n’est pas démontrée et encore moins l’impossibilité d’obtenir l’accès au compteur, respectivement au local, par les moyens légaux. Pour le surplus, la réalisation des éléments constitutifs objectifs et subjectifs des infractions retenues ne fait pas de doute de sorte que la condamnation de l’appelant pour contrainte et violation de domicile doit être confirmée.</w:t>
      </w:r>
    </w:p>
    <w:p>
      <w:r>
        <w:rPr>
          <w:b/>
        </w:rPr>
        <w:t>E. 5.1</w:t>
      </w:r>
    </w:p>
    <w:p>
      <w:r>
        <w:t>L’appelant conteste les faits qui lui sont reprochés au cas 4 de l’acte d’accusation (cf. supra ch. 2.2.4), soit notamment d’avoir traité le</w:t>
      </w:r>
    </w:p>
    <w:p>
      <w:r>
        <w:t>- 16 - plaignant de « mauvais payeur » et de l’avoir menacé de changer à nouveau les serrures. Il se prévaut du principe in dubio pro reo pour conclure à son acquittement des infractions de calomnie et de menaces. En tout état de cause, s’agissant de l’infraction de calomnie, il soutient que le fait de traiter quelqu’un de mauvais payeur ne peut pas être attentatoire à l’honneur lorsqu’il vise un commerçant mais peut, tout au plus, constituer un jugement de valeur qui pourrait être offensant. En outre, il ne serait raisonnablement pas possible de considérer que l’appelant connaissait la fausseté de son allégation compte tenu des multiples litiges qui l’opposent au plaignant et du fait qu’il lui reproche en particulier de ne pas s’acquitter des charges (frais accessoires). Quant à l’infraction de menaces, il ne serait raisonnablement pas possible de considérer que les propos tenus par l’appelant, pour autant qu’ils soient retenus, constituent une menace et encore moins une menace grave. La partie plaignante n’aurait jamais été effrayée ou alarmée par les propos tenus, ce d’autant que l’appelant avait déjà changé les cylindres et pu accéder au compteur, de sorte qu’il n’avait aucune raison de commettre cet acte à nouveau.</w:t>
      </w:r>
    </w:p>
    <w:p>
      <w:r>
        <w:rPr>
          <w:b/>
        </w:rPr>
        <w:t>E. 5.2.1.1</w:t>
      </w:r>
    </w:p>
    <w:p>
      <w:r>
        <w:t>Se rend coupable de calomnie au sens de l’art. 174 ch. 1 aCP – dans sa teneur en vigueur jusqu’au 30 juin 2023 (RO 2023 p. 259 ; FF 2018 p. 2889), le nouveau droit n’étant pas plus favorable à l’appelant (cf. art. 2 al. 2 CP) –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w:t>
      </w:r>
    </w:p>
    <w:p>
      <w:r>
        <w:t>- 17 -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w:t>
      </w:r>
    </w:p>
    <w:p>
      <w:r>
        <w:rPr>
          <w:b/>
        </w:rPr>
        <w:t>E. 5.2.1.2</w:t>
      </w:r>
    </w:p>
    <w:p>
      <w:r>
        <w:t>Aux termes de l'art. 180 al. 1 aCP – dans sa teneur en vigueur jusqu’au 30 juin 2023 (RO 2023 p. 259 ; FF 2018 p. 2889), le nouveau droit n’étant pas plus favorable à l’appelant (cf. art. 2 al. 2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w:t>
      </w:r>
    </w:p>
    <w:p>
      <w:r>
        <w:t>- 18 - nature à alarmer ou à effrayer la victime. Il convient à cet égard de tenir compte de la réaction qu'aurait une personne raisonnable face à une situation identique (ATF 122 IV 97 consid. 2b ; TF 6B_1054/2021 précité).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Peu importe que les menaces aient été rapportées de manière indirecte à la victime (TF 6B_617/2022 du 14 décembre 2022 consid. 2.2.1 ; TF 6B_741/2021 du 2 août 2022 consid. 7.3 ; TF 6B_787/2018 du 1er octobre 2018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rPr>
          <w:b/>
        </w:rPr>
        <w:t>E. 5.2.2</w:t>
      </w:r>
    </w:p>
    <w:p>
      <w:r>
        <w:t>Le premier juge a relevé que les témoignages d’I.________ et de X.________, dont il n’y avait aucune raison de s’écarter, contredisaient les dires de l’appelant et permettaient de se convaincre que celui-ci avait bien tenu les propos qu’on lui prêtait. Il avait donc bien déclaré que le plaignant était un mauvais payeur, alors même qu’il ne pouvait ignorer que celui-ci consignait ses loyers, et il l’avait bien menacé de changer à nouveau les serrures de l’établissement public. Les termes « mauvais payeur »,</w:t>
      </w:r>
    </w:p>
    <w:p>
      <w:r>
        <w:t>- 19 - lorsqu’ils visent un commerçant, ne pouvaient être qu’attentatoires à l’honneur. L’appelant s’était ainsi rendu coupable de calomnie et de menaces, puisqu’en avisant le plaignant qu’il allait derechef changer les serrures du café, l’intéressé ne pouvait que lui faire craindre qu’il serait à nouveau entravé dans son exploitation, avec le risque d’un dommage économique sérieux.</w:t>
      </w:r>
    </w:p>
    <w:p>
      <w:r>
        <w:rPr>
          <w:b/>
        </w:rPr>
        <w:t>E. 5.3</w:t>
      </w:r>
    </w:p>
    <w:p>
      <w:r>
        <w:t>Ce raisonnement ne prête pas le flanc à la critique et doit être suivi. En effet, la matérialité des faits est confirmée par deux témoins. En outre, les termes « mauvais payeur » ne sont pas une critique des aptitudes professionnelles, mais portent un jugement de valeur négatif sur la moralité de l’intéressé en affaires. Il n’est pas soutenable d’affirmer que la menace de résilier le bail d’un outil de travail n’est pas une menace sérieuse. L’appelant n’est pas plus crédible lorsqu’il explique qu’il ne savait pas que les loyers étaient payés ; il aurait à l’évidence entamé une procédure de résiliation immédiate et d’expulsion de son locataire si tel n’était pas le cas. Partant, les griefs de l’appelant sont infondés et sa condamnation pour calomnie et menaces à raison des faits décrits sous chiffre 4 de l’acte d’accusation (cf. supra ch. 2.2.4) doit être confirmée.</w:t>
      </w:r>
    </w:p>
    <w:p>
      <w:r>
        <w:rPr>
          <w:b/>
        </w:rPr>
        <w:t>E. 6.1</w:t>
      </w:r>
    </w:p>
    <w:p>
      <w:r>
        <w:t>L’appelant conteste la quotité de la peine qui lui a été infligée, en tant qu’elle correspond au nombre de jours-amende prononcé par le Ministère public dans son ordonnance pénale du 27 septembre 2024, le montant du jour-amende étant même plus élevé. Il soutient qu’aucune circonstance ne justifierait qu’il se voie infliger une peine plus sévère que celle qui avait été proposée par le Ministère public.</w:t>
      </w:r>
    </w:p>
    <w:p>
      <w:r>
        <w:rPr>
          <w:b/>
        </w:rPr>
        <w:t>E. 6.2</w:t>
      </w:r>
    </w:p>
    <w:p>
      <w:r>
        <w:t>- 20 -</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w:t>
      </w:r>
    </w:p>
    <w:p>
      <w:r>
        <w:t>- 21 - 6B_1329/2023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6.3.1</w:t>
      </w:r>
    </w:p>
    <w:p>
      <w:r>
        <w:t>Le premier juge a considéré que la culpabilité de l’appelant n’était pas légère. Il avait fait fi des droits les plus élémentaires de son locataire pour des motifs futiles, allant jusqu’à l’empêcher d’exercer son activité professionnelle, et avait persisté à ne pas se remettre en question et à rejeter systématiquement la faute sur autrui, ce qui n’incitait pas à la clémence. A charge, le premier juge a tenu compte du concours d’infractions, sans discerner d’éléments à décharge.</w:t>
      </w:r>
    </w:p>
    <w:p>
      <w:r>
        <w:rPr>
          <w:b/>
        </w:rPr>
        <w:t>E. 6.3.2</w:t>
      </w:r>
    </w:p>
    <w:p>
      <w:r>
        <w:t>Cette appréciation doit être partagée. En effet, l’activité délictueuse de l’appelant n’est pas restée ponctuelle. Il s’est montré ergoteur aux débats et n’a manifesté aucune prise de conscience,</w:t>
      </w:r>
    </w:p>
    <w:p>
      <w:r>
        <w:t>- 22 - convaincu de son bon droit. Les infractions sont en concours, facteur aggravant. On ne discerne pas d’élément à décharge. La violation de domicile constitue l’infraction la plus grave et impose, à elle seule, le prononcé d’une peine pécuniaire de 40 jours- amende, augmentée, par les effets du concours, de 20 jours pour sanctionner la contrainte, de 20 jours pour réprimer la calomnie et de 20 jours pour les menaces proférées à l’encontre de L.________. La peine pécuniaire de 100 jours-amende prononcée par le premier juge est donc adéquate et doit être confirmée, étant ici rappelé que l’interdiction de la reformatio in pejus ne s’applique pas à l’égard du tribunal chargé de juger une affaire ensuite d’une opposition à une ordonnance pénale, le juge ayant la possibilité de prononcer une sentence plus sévère que celle initialement proposée par le Ministère public (Gilliéron/Killias, in : Jeanneret et al. [éd.], Commentaire romand, Code de procédure pénale suisse, 2e éd., Bâle 2019, n. 1 ad art. 354 CPP ; Moreillon/Parein-Reymond, Petit commentaire, Code de procédure pénale, 3e éd., Bâle 2025, n. 3 ad art. 354 CPP). Compte tenu de la situation financière de l’appelant – qui perçoit des revenus de plus de 13'000 fr. par mois – le montant du jour- amende, arrêté à 100 fr., est adéquat et sera confirmé également.</w:t>
      </w:r>
    </w:p>
    <w:p>
      <w:r>
        <w:rPr>
          <w:b/>
        </w:rPr>
        <w:t>E. 7.1</w:t>
      </w:r>
    </w:p>
    <w:p>
      <w:r>
        <w:t>L’appelant se prévaut d’une violation de l’art. 44 CP et conteste le délai d’épreuve de 4 ans qui lui a été fixé.</w:t>
      </w:r>
    </w:p>
    <w:p>
      <w:r>
        <w:rPr>
          <w:b/>
        </w:rPr>
        <w:t>E. 7.2</w:t>
      </w:r>
    </w:p>
    <w:p>
      <w:r>
        <w:t>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w:t>
      </w:r>
    </w:p>
    <w:p>
      <w:r>
        <w:t>- 23 - consid. 2.1). La gravité des actes commis ne joue aucun rôle (TF 6B_1133/2019 du 18 décembre 2019 consid. 4.3 et les références citées ; Kuhn/Vuille, in : Moreillon et al. [éd.], Commentaire romand, Code pénal I, 2e éd., Bâle 2021, n. 7 ad art. 44 CP).</w:t>
      </w:r>
    </w:p>
    <w:p>
      <w:r>
        <w:rPr>
          <w:b/>
        </w:rPr>
        <w:t>E. 7.3</w:t>
      </w:r>
    </w:p>
    <w:p>
      <w:r>
        <w:t>En l’espèce, à l’instar du premier juge et comme mentionné ci- avant, si l’appelant est certes un délinquant primaire, son activité délictueuse n’est pas restée ponctuelle. Il n’a en outre de toute évidence pas pris conscience de la gravité de ses actes, ni même de leur caractère illicite, puisqu’il semble convaincu de son bon droit. La faiblesse de l’introspection dont il fait preuve commande de prononcer un délai d’épreuve supérieur au minimum légal. Le délai de 4 ans imparti par le premier juge est donc approprié et doit être confirmé.</w:t>
      </w:r>
    </w:p>
    <w:p>
      <w:r>
        <w:rPr>
          <w:b/>
        </w:rPr>
        <w:t>E. 8.1</w:t>
      </w:r>
    </w:p>
    <w:p>
      <w:r>
        <w:t>L’appelant conteste encore l’amende de 1'500 fr. infligée par le premier juge à titre de sanction immédiate et pour réprimer la contravention commise et soutient qu’elle devrait être adaptée à la peine prononcée.</w:t>
      </w:r>
    </w:p>
    <w:p>
      <w:r>
        <w:rPr>
          <w:b/>
        </w:rPr>
        <w:t>E. 8.2</w:t>
      </w:r>
    </w:p>
    <w:p>
      <w:r>
        <w:t>Dans la mesure où la quotité de la peine pécuniaire prononcée à l’encontre de l’appelant demeure inchangée, son grief est vain. Pour le surplus, le montant de 1'500 fr. est adapté à la faute commise et à la situation financière de l’appelant. Il sera donc confirmé.</w:t>
      </w:r>
    </w:p>
    <w:p>
      <w:r>
        <w:rPr>
          <w:b/>
        </w:rPr>
        <w:t>E. 9.1</w:t>
      </w:r>
    </w:p>
    <w:p>
      <w:r>
        <w:t>L’appelant conteste encore l’indemnité octroyée à la partie plaignante pour les dépenses obligatoires occasionnées par la procédure, au motif que le recours à un avocat était superflu. En tout état de cause, seul un tarif horaire de 250 fr. devrait s’appliquer compte tenu de la simplicité de la cause. Certaines opérations devraient en outre être retranchées, le montant de la liste des opérations produite par le conseil de la partie plaignante étant excessif.</w:t>
      </w:r>
    </w:p>
    <w:p>
      <w:r>
        <w:t>- 24 -</w:t>
      </w:r>
    </w:p>
    <w:p>
      <w:r>
        <w:rPr>
          <w:b/>
        </w:rPr>
        <w:t>E. 9.2</w:t>
      </w:r>
    </w:p>
    <w:p>
      <w:r>
        <w:t>Les griefs de l’appelant sont infondés. D’une part, la cause n’est pas simple, comme en témoigne d’ailleurs le fait qu’il a lui-même eu recours à un avocat. D’autre part, le tarif horaire de 350 fr. de l’heure entre dans le pouvoir d’appréciation du juge pour fixer la juste indemnité. Quant au nombre d’heures, l’appelant n’explique pas quelles démarches seraient injustifiées et devraient être retranchées. L’indemnité à forme de l’art. 433 CPP allouée à la partie plaignante ne peut donc qu’être confirmée.</w:t>
      </w:r>
    </w:p>
    <w:p>
      <w:r>
        <w:rPr>
          <w:b/>
        </w:rPr>
        <w:t>E. 10</w:t>
      </w:r>
    </w:p>
    <w:p>
      <w:r>
        <w:t>En définitive, l’appel doit être rejeté et le jugement entrepris intégralement confirmé. Vu l'issue de la cause, les frais de la procédure d'appel, constitués des émoluments de jugement, par 1’980 fr. et d'audience, par 400 fr. (art. 21 al. 1 et 2 TFIP [tarif des frais de procédure et indemnités en matière pénale du 28 septembre 2010 ; BLV 312.03.1]), soit au total 2’380 fr., seront mis à la charge de l'appelant, qui succombe (art. 428 al. 1 CPP). La partie plaignante, qui a agi avec l'assistance d’un conseil de choix, peut prétendre à une indemnité pour les dépenses obligatoires occasionnées par la procédure d’appel, à la charge de l’appelant (art. 433 CPP). Selon la liste des opérations produite, Me César Montalto, conseil de la partie plaignante, a consacré 3 heures et 36 minutes à ce mandat. Il n’y a pas lieu de s’écarter de la durée alléguée, si ce n’est pour y retrancher 35 minutes afin de tenir compte de la durée effective des débats d’appel, et pour y ajouter une vacation à 120 francs. En définitive, c’est ainsi une indemnité de 1'293 fr. 90 qui sera allouée à la partie plaignante, correspondant à 3 heures et une minute d'activité d'avocat au tarif horaire de 350 fr., par 1’055 fr. 85, à des débours à hauteur de 2 % – et non 5 % comme annoncé (art. 3bis al. 1 RAJ [règlement sur l’assistance judiciaire en matière civile du 7 décembre 2019 ; BLV 211.02.3], applicable par renvoi de l’art. 26b TFIP) – des honoraires admis, soit 21 fr. 12, à une vacation à 120 fr. et à un montant de 96 fr. 95 correspondant à la TVA au taux de 8,1 % sur le tout.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