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PE22.008174 vom 14. Juli 2022</w:t>
      </w:r>
    </w:p>
    <w:p>
      <w:r>
        <w:t>VD Tribunal cantonal, 2022-07-14, FR</w:t>
      </w:r>
    </w:p>
    <w:p>
      <w:r>
        <w:rPr>
          <w:b/>
        </w:rPr>
        <w:t xml:space="preserve">Quelle: </w:t>
      </w:r>
      <w:r>
        <w:t>https://mcp.opencaselaw.ch/entscheid/vd_gerichte_PE22.008174</w:t>
      </w:r>
    </w:p>
    <w:p>
      <w:r>
        <w:t>FR: VD_GERICHTE PE22.008174 du 14 juillet 2022</w:t>
      </w:r>
    </w:p>
    <w:p>
      <w:r>
        <w:t>IT: VD_GERICHTE PE22.008174 del 14 luglio 2022</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- 4 - 2009 ; BLV 312.01] ; art. 80 LOJV [Loi vaudoise d’organisation judiciaire du 12 décembre 1979 ; BLV 173.01]). En l’espèce, déposé en temps utile devant l’autorité compétente par la partie plaignante qui a qualité pour recourir (art. 382 al. 1 CPP) et satisfaisant aux conditions de forme prescrites (art. 385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w:t>
      </w:r>
    </w:p>
    <w:p>
      <w:r>
        <w:t>- 5 -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novembre 2020 consid. 6.1). Du point de vue subjectif, l'auteur doit avoir agi intentionnellement et dans un dessein d'enrichissement illégitime, lequel peut être réalisé par dol éventuel (ATF 118 IV 32 consid. 2a).</w:t>
      </w:r>
    </w:p>
    <w:p>
      <w:r>
        <w:rPr>
          <w:b/>
        </w:rPr>
        <w:t>E. 3.1</w:t>
      </w:r>
    </w:p>
    <w:p>
      <w:r>
        <w:t>Le recourant se plaint d’une constatation erronée et incomplète des faits. Il reproche notamment au Ministère public de ne pas avoir mentionné, dans l’ordonnance entreprise, que T.________ aurait cherché à lui faire signer des bons de commande pour un total de 250'000 fr., alors qu’il ne pouvait ignorer qu’aucune démarche n’était en cours sur son projet. Il soutient que dès lors que T.________ lui aurait fait faussement croire que des démarches étaient en cours dans l’unique but de lui faire signer des bons de commande, l’infraction d’escroquerie ne pourrait pas être exclue. Il fait par ailleurs valoir qu’il serait hautement vraisemblable que T.________ ait agi au mépris des instructions convenues avec S.________ SA dans le but d’utiliser à d’autres fins que celle contractuellement prévue la somme de 10'800 fr. qui avait été confiée, de sorte que l’infraction d’abus de confiance ne pourrait pas non plus être exclue à ce stade. Il soutient enfin que l’interprétation du contrat et l’issue du litige civil ne seraient pas déterminantes pour permettre au Ministère public d’entrer en matière sur sa plainte pénale, notamment s’agissant des faits potentiellement constitutifs d’escroquerie.</w:t>
      </w:r>
    </w:p>
    <w:p>
      <w:r>
        <w:rPr>
          <w:b/>
        </w:rPr>
        <w:t>E. 3.2.1</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- 6 -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w:t>
      </w:r>
    </w:p>
    <w:p>
      <w:r>
        <w:t>- 7 - 6B_819/2018 précité et la référence citée).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Code pénal, Petit commentaire, 2e éd., Bâle 2017, n. 17 ad art. 146 CP). La tromperie portant sur la volonté d'exécuter un contrat est en principe astucieuse au sens de l'art. 146 CP, car elle concerne une intention dont le partenaire contractuel ne peut pas directement vérifier la nature.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[éd.], op. cit., n. 15 ad art. 146 CP et les références citées). Il peut néanmoins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et la jurisprudence citée). Sur le plan subjectif, l'escroquerie est une infraction intentionnelle, l'intention devant porter sur tous les éléments constitutifs</w:t>
      </w:r>
    </w:p>
    <w:p>
      <w:r>
        <w:t>- 8 - de l'infraction. L'auteur doit en outre avoir agi dans le dessein de se procurer ou de procurer à un tiers un enrichissement illégitime, correspondant au dommage de la dupe (ATF 134 IV 210 consid. 5.3).</w:t>
      </w:r>
    </w:p>
    <w:p>
      <w:r>
        <w:rPr>
          <w:b/>
        </w:rPr>
        <w:t>E. 3.2.2</w:t>
      </w:r>
    </w:p>
    <w:p>
      <w:r>
        <w:t>Commet un abus de confiance au sens de l'art. 138 ch. 1 al. 2 CP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TF 6B_556/2020 du</w:t>
      </w:r>
    </w:p>
    <w:p>
      <w:r>
        <w:rPr>
          <w:b/>
        </w:rPr>
        <w:t>E. 3.3.1</w:t>
      </w:r>
    </w:p>
    <w:p>
      <w:r>
        <w:t>En l’espèce, il n’est pas possible, à ce stade – à savoir sans même qu’une enquête policière ait été menée et sur le seul vu de la plainte –, d’exclure qu’une tentative d’escroquerie soit réalisée. Comme le relève à juste titre le recourant, celui-ci a clairement allégué, dans sa</w:t>
      </w:r>
    </w:p>
    <w:p>
      <w:r>
        <w:t>- 9 - plainte, que T.________ lui aurait faussement fait croire qu’ils étaient liés contractuellement et que des démarches étaient en cours auprès de professionnels dans l’unique but de lui faire signer des bons de commande pour un total de 250'000 francs. Il a produit plusieurs pièces à l’appui de sa plainte, soit notamment le contrat conclu avec S.________ SA et son avenant, plusieurs courriels et messages Whatsapp échangés avec T.________, dont une liste d’équipements sous forme de « confirmation de commande », et un devis du 4 juin 2021 établi par S.________ SA. Les éléments présentés par le recourant ne permettent ainsi pas d’exclure, à ce stade, que T.________ n’avait pas uniquement pour but de lui faire signer des bons de commande en lui promettant fallacieusement des prestations tels que l’établissement de plans techniques et de devis. A cet égard, il y a lieu de relever qu’il est pour le moins étrange que T.________ ait voulu lui faire signer ces bons avant de lui avoir soumis lesdits plans et devis, et qu’une fois sommé de le faire, il ait fourni des plans techniques identiques au plan d’origine et signés par un architecte, qui ne paraissait en définitive pas mandaté par ses soins. Il pourrait s’agir de manœuvres astucieuses pour faire croire au recourant que son projet était faisable et qu’il allait recevoir les plans techniques et devis requis afin de le déterminer à des actes préjudiciables à ses intérêts en passant commande auprès de S.________ SA pour 250'000 fr. de matériel. Compte tenu de ce qui précède, c’est à tort que le Ministère public n’est pas entré en matière sur la plainte du recourant en tant qu’elle portait sur l’infraction d’escroquerie.</w:t>
      </w:r>
    </w:p>
    <w:p>
      <w:r>
        <w:rPr>
          <w:b/>
        </w:rPr>
        <w:t>E. 3.3.2</w:t>
      </w:r>
    </w:p>
    <w:p>
      <w:r>
        <w:t>S’agissant de l’infraction d’abus de confiance, le recourant fait valoir que la somme de 10'800 fr. aurait été confiée à S.________ SA dans le but d’établir des documents techniques nécessaires à la rédaction de devis, instruction qui n’aurait pas été respectée. Il concède que les rapports entretenus avec la société découleraient de l’interprétation faite de l’avenant du mois de septembre 2020, mais estime qu’à ce stade, le dossier ne permettrait pas d’exclure que S.________ SA ait volontairement refusé de lui restituer la somme confiée.</w:t>
      </w:r>
    </w:p>
    <w:p>
      <w:r>
        <w:t>- 10 - Il ressort des pièces 5/2 et 5/3 produites à l’appui de la plainte du recourant que la somme de 12'000 fr., respectivement de 10'800 fr., remise à S.________ SA ne l’a pas été à charge pour elle de la conserver, de la gérer ou de la remettre, mais comme avance pour des travaux qui devaient être effectués. Or, comme l’a relevé à bon escient la procureure, la question de savoir si ces travaux ont été exécutés en tout ou partie et dans quelle mesure ce montant devrait être restitué paraît relever du droit civil, si tant est que le recourant n’ait pas été amené avec astuce à verser ce montant, alors que son cocontractant n’avait aucune intention d’exécuter sa part du contrat. Dans la mesure où le recours doit être admis pour les motifs exposés au considérant 3.3.1 ci-dessus et le dossier de la cause retourné au Ministère public pour qu’il ouvre une instruction contre T.________ pour escroquerie, il incombera également à la procureure d’instruire ce point.</w:t>
      </w:r>
    </w:p>
    <w:p>
      <w:r>
        <w:rPr>
          <w:b/>
        </w:rPr>
        <w:t>E. 4</w:t>
      </w:r>
    </w:p>
    <w:p>
      <w:r>
        <w:t>En définitive, le recours doit être admis et l’ordonnance entreprise annulée. Le dossier de la cause sera renvoyé au Ministère public pour qu’il ouvre une instruction pénale et procède dans le sens des considérants. Vu l’admission du recours, les frais de la procédure, constitués en l’espèce du seul émolument d'arrêt, par 1’100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à une indemnité pour les dépenses occasionnées par la procédure de recours (art. 433 al. 1 let. a CPP). Il ne quantifie toutefois pas sa prétention. Au vu du mémoire déposé et de la nature de l’affaire, cette indemnité sera fixée à 900 fr., correspondant à trois heures d’activité nécessaire d’avocate au tarif horaire de 300 fr. (art. 26a al. 3 TFIP), montant auquel il convient d’ajouter</w:t>
      </w:r>
    </w:p>
    <w:p>
      <w:r>
        <w:t>- 11 -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Elle sera laissée à la charge de l’Etat, en l’absence de partie succombante (ATF 138 IV 248 consid. 5.3, JdT 2013 IV 151). Par ces motifs, la Chambre des recours pénale prononce : I. Le recours est admis. II. L’ordonnance du 12 mai 2022 est annulée. III. Le dossier de la cause est renvoyé au Ministère public de l’arrondissement de Lausanne pour qu’il procède dans le sens des considérants. IV. Les frais d’arrêt, par 1’100 fr. (mille cent francs), sont laissés à la charge de l’Etat. V. Une indemnité de 989 fr. (neuf cent huitante-neuf francs) est allouée à R.________ pour les dépenses occasionnées par la procédure de recours, à la charge de l’Etat. VI. L’arrêt est exécutoire. La présidente : La greffière :</w:t>
      </w:r>
    </w:p>
    <w:p>
      <w:r>
        <w:t>- 12 - Du Le présent arrêt, dont la rédaction a été approuvée à huis clos, est notifié, par l'envoi d'une copie complète, à : - Me Emmeline Filliez-Bonnard, avocate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