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PE22.007895 vom 4. März 2026</w:t>
      </w:r>
    </w:p>
    <w:p>
      <w:r>
        <w:t>VD Tribunal cantonal, 2026-03-04, FR</w:t>
      </w:r>
    </w:p>
    <w:p>
      <w:r>
        <w:rPr>
          <w:b/>
        </w:rPr>
        <w:t xml:space="preserve">Quelle: </w:t>
      </w:r>
      <w:r>
        <w:t>https://mcp.opencaselaw.ch/entscheid/vd_gerichte_PE22.007895</w:t>
      </w:r>
    </w:p>
    <w:p>
      <w:r>
        <w:t>FR: VD_GERICHTE PE22.007895 du 4 mars 2026</w:t>
      </w:r>
    </w:p>
    <w:p>
      <w:r>
        <w:t>IT: VD_GERICHTE PE22.007895 del 4 marzo 2026</w:t>
      </w:r>
    </w:p>
    <w:p>
      <w:pPr>
        <w:pStyle w:val="Heading2"/>
      </w:pPr>
      <w:r>
        <w:t>Erwägungen</w:t>
      </w:r>
    </w:p>
    <w:p>
      <w:r>
        <w:rPr>
          <w:b/>
        </w:rPr>
        <w:t>E. 6</w:t>
      </w:r>
    </w:p>
    <w:p>
      <w:r>
        <w:t>mars 2023 consid. 3.1 ; TF 6B_372/2022 du 1er mars 2023 consid. 3.2.1. Une dénonciation n'est calomnieuse que si la personne mise en cause est innocente, ce qui implique que cette personne n'a pas commis les faits délictueux qui lui sont faussement imputés (ATF 136 IV 170 consid. 2.1, JdT 2011 IV 102 ; TF 6B_859/2022 précité et les références citées). Il n’est pas nécessaire que la dénonciation soit entièrement fausse. En effet, le Tribunal fédéral a jugé que tombait déjà sous le coup de la dénonciation calomnieuse une plainte pénale qui relatait des faits vrais pour la plus grande partie, mais qui, à dessein en taisait d’autres, ajoutait à ce qui était, émettait de faux soupçons et affirmait de mauvaise foi l’existence de conditions subjectives requises pour les crimes et délits dénoncés (ATF 72 IV 74 consid. 2 ; TF 6B_591/2009 du 1er février 2010 consid. 3.1.1). L'élément constitutif subjectif de l'infraction de dénonciation calomnieuse implique que l'auteur sache que la personne qu'il dénonce est innocente. Il s'agit d'une connaissance au sens strict. Il ne suffit dès lors pas que l’auteur ait conscience que ses allégations pourraient être fausses. Il doit savoir que son accusation est inexacte. Le dol éventuel ne suffit pas (ATF 136 IV 170 consid. 2.1 ; TF 6B_859/2022 précité et les références citées). 3.3 En définitive, le premier juge a retenu la réalisation de cette infraction uniquement en rapport avec des exagérations faites par l’appelante lors de l’altercation survenue dans la nuit du 30 avril au 1er mai 2022 (cf. jugement, p. 20). Il est un fait que l’appelante a largement exagéré certains de ses propos, notamment en lien avec le nombre et l’intensité des coups de poing, de pieds et des étranglements qu’elle a dit avoir reçus de 13J010</w:t>
      </w:r>
    </w:p>
    <w:p>
      <w:r>
        <w:t>- 13 - D.________ (cf. PV aud. 1). Si tel n’était pas le cas, le rapport du CURML aurait nécessairement observé davantage de lésions et des pétéchies dues aux strangulations. Or, les médecins n’ont constaté que quelques ecchymoses et une dermabrasion (P. 24, p. 10). En outre, par le passé, l’appelante a déjà dénoncé mensongèrement des faits en lien avec un précédent compagnon (cf. P. 25 ; jugement, pp. 17 et 19). L’appelante a donc bien dénoncé faussement D.________ pour des faits qu’elle savait être de moindre importance, de sorte que sa condamnation pour dénonciation calomnieuse doit être confirmée. 4. 4.1 L’appelante conteste sa condamnation pour lésions corporelles simples qualifiées. Elle soutient que les éléments retenus par le premier juge sont tout au plus constitutifs de voies de fait, dès lors que les légères lésions présentées par D.________ n’auraient pas eu d’autres conséquences qu’un trouble passager et sans importance sur son sentiment de bien-être. Elle ajoute que l’infraction de voies de fait est prescrite. 4.2 4.2.1 Aux termes de l'art. 123 ch. 1 aCP, dans sa teneur au moment des faits, celui qui, intentionnellement, aura fait subir à une personne une autre atteinte à l'intégrité corporelle ou à la santé sera, sur plainte, puni d'une peine privative de liberté de trois ans au plus ou d'une peine pécuniaire. Selon l'art. 123 ch. 2 aCP, l'auteur sera poursuivi d'office s'il s'en est pris à une personne hors d'état de se défendre ou à une personne, notamment à un enfant, dont il avait la garde ou sur laquelle il avait le devoir de veiller (al. 3).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13J010</w:t>
      </w:r>
    </w:p>
    <w:p>
      <w:r>
        <w:t>- 14 - les écorchures ou les griffures, sauf si ces lésions n'ont pas d'autres conséquences qu'un trouble passager et sans importance du sentiment de bien-être (ATF 134 IV 189 consid. 1.1 ; TF 6B_964/2023 du 17 avril 2024 consid. 4.1).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 TF 6B_1445/2020 du 28 juillet 2021 consid. 1.1). 4.2.2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 TF 6B_964/2023 précité consid. 4.1). L'atteinte au sens de l'art. 126 CP suppose une certaine intensité (TF 6B_964/2023 précité consid. 4.1 ; TF 6B_1191/2019 du 4 décembre 2019 consid. 3.1). Peuvent être qualifiées de voies de fait, une gifle, un coup de poing ou de pied, de fortes bourrades avec les mains ou les coudes (TF 6B_964/2023 précité consid. 4.1 ; TF 6B_1064/2019 du 16 janvier 2020 consid. 2.2 ; TF 6B_386/2019 du 25 septembre 2019 consid. 2.1). La distinction entre lésions corporelles et voies de fait peut s'avérer délicate, notamment lorsque l'atteinte s'est limitée à des meurtrissures, des écorchures, des griffures ou des contusions (ATF 134 IV 13J010</w:t>
      </w:r>
    </w:p>
    <w:p>
      <w:r>
        <w:t>- 15 - 189 consid. 1.3 et l'arrêt cité ; cf. TF 6B_964/2023 précité consid. 4.1). Dans les cas limites, il faut tenir compte de l'importance de la douleur provoquée, afin de déterminer s'il s'agit de lésions corporelles simples ou de voies de fait (ATF 134 IV 189 consid. 1.3 ; TF 6B_964/2023 précité consid. 4.1). 4.3 En l’espèce, le premier juge a considéré que l’appelante s’est rendue coupable de lésions corporelles simples qualifiées car elle a lancé un vase, un miroir et un cendrier sur D.________, lui causant une douleur au coude gauche, et qu’elle l’a griffé et lui a mis un doigt dans la bouche, le blessant au niveau de la mâchoire gauche. Ces blessures ont été constatées par le CURML (cf. P. 23), qui indique que D.________ a présenté de nombreuses dermabrasions au niveau du cuir chevelu, des joues, du cou et sous la narine droite, ainsi qu’une plaie au niveau du frein gingival supérieur, une petite érosion à pourtour fibrineux de la muqueuse jugale gauche et une ecchymose au coude gauche. Ce tableau lésionnel dépasse les atteintes qui entrent généralement dans le cadre des voies de fait pour une personne de sensibilité moyenne placée dans la même situation. L’appelante doit donc être condamnée pour lésions corporelles simples qualifiées. 5. 5.1 L’appelante soutient qu’elle a agi en état de légitime défense. 5.2 Selon l'art. 15 CP, quiconque, de manière contraire au droit, est attaqué ou menacé d'une attaque imminente a le droit de repousser l'attaque par des moyens proportionnés aux circonstances. Conformément à l’art. 16 al. 1 CP, si l'auteur, en repoussant une attaque, a excédé les limites de la légitime défense au sens de l'art. 15 CP, le juge atténue la peine.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13J010</w:t>
      </w:r>
    </w:p>
    <w:p>
      <w:r>
        <w:t>- 16 - (ATF 106 IV 12 consid. 2a). Le droit à la légitime défense s'éteint lorsque l'attaque est achevée. L'acte de celui qui est attaqué ou menacé de l'être doit tendre à la défense ; un comportement visant à se venger ou à punir ne relève pas de la légitime défense. Une attaque n'est pas achevée aussi longtemps que le risque d'une nouvelle atteinte ou d'une aggravation de celle-ci par l'assaillant reste imminent (ATF 102 IV 1 consid. 2b ; TF 6B_813/2024 du 10 janvier 2025 consid. 3.1 et les références citées). 5.3 L’appelante n’a pas riposté à la suite d’une attaque mais a pris part à une dispute avec son conjoint, sans qu’une chronologie précise des faits puisse être établie. Bien que D.________ ait fait preuve d’une plus grande violence, l’appelante n’est pas en reste, comme on l’a vu au considérant précédent. Elle n’a pas fait que se défendre mais a également agressé son compagnon. On sait en outre qu’elle a exagéré l’intensité et le nombre des coups reçus. Le grief de l’appelante est donc vain.</w:t>
      </w:r>
    </w:p>
    <w:p>
      <w:r>
        <w:rPr>
          <w:b/>
        </w:rPr>
        <w:t>E. 6.1</w:t>
      </w:r>
    </w:p>
    <w:p>
      <w:r>
        <w:t>L’appelante conteste s’être rendue coupable de mise en danger de la vie d’autrui. Elle fait valoir que les déclarations de D.________ ont fluctué tout au long de la procédure et qu’il a donné des versions contradictoires au sujet du déroulement de l’épisode du couteau. Quoi qu’il en soit, dans les deux versions servies, il avait indiqué qu’après l’avoir désarmée, il était sorti fumer une cigarette, et qu’il n’avait pas vécu « quelque chose de grave avec elle », ajoutant qu’elle n’était pas une femme violente. Il aurait par ailleurs tenté de la contacter à plusieurs reprises après les faits. Ainsi, D.________ ne serait pas crédible et rien au dossier ne permettrait de soutenir que l’appelante aurait fait usage d’une arme blanche et, a fortiori, d’une manière susceptible de mettre en danger la vie de D.________.</w:t>
      </w:r>
    </w:p>
    <w:p>
      <w:r>
        <w:rPr>
          <w:b/>
        </w:rPr>
        <w:t>E. 6.2</w:t>
      </w:r>
    </w:p>
    <w:p>
      <w:r>
        <w:t>A teneur de l'art. 129 aCP, dans sa teneur au moment des faits, celui qui, sans scrupules, aura mis autrui en danger de mort imminent sera puni d'une peine privative de liberté de cinq ans au plus ou d'une peine pécuniaire. 13J010</w:t>
      </w:r>
    </w:p>
    <w:p>
      <w:r>
        <w:t>- 17 -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6B_418/2021 du 7 avril 2022 consid. 5.1). Il doit en outre s'agir d'un danger de mort, et non pas seulement d'un danger pour la santé ou l'intégrité corporelle (ATF 133 IV 1 consid. 5).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6B_418/2021 précité). L'immédiateté disparaît ou s'atténue lorsque s'interposent ou surviennent des actes ou d'autres éléments extérieurs (ATF 106 IV 12 consid. 2a).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Plus le danger connu de l'auteur est grand et moins ses mobiles méritent attention, plus l'absence de scrupules apparaît comme évidente (ATF 107 IV 163 consid. 3 ; TF 6B_418/2021 précité). L'auteur doit avoir agi intentionnellement. Il doit avoir conscience du danger de mort imminent pour autrui et adopter 13J010</w:t>
      </w:r>
    </w:p>
    <w:p>
      <w:r>
        <w:t>- 18 - volontairement un comportement qui le crée. En revanche, il ne veut pas, même à titre éventuel, la réalisation du risque, sans quoi il s'agirait d'une tentative d'homicide. Le dol éventuel ne suffit pas (ATF 107 IV 163 précité ; TF 6B_418/2021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6B_418/2021 précité).</w:t>
      </w:r>
    </w:p>
    <w:p>
      <w:r>
        <w:rPr>
          <w:b/>
        </w:rPr>
        <w:t>E. 6.3</w:t>
      </w:r>
    </w:p>
    <w:p>
      <w:r>
        <w:t>D.________ a expliqué que durant l’altercation, l’appelante s’est saisie d’un couteau à pain en céramique de couleur verte muni d’une lame d’environ 10 cm. Elle l’a tenu comme un poignard et s’est précipité sur lui. Elle a posé la lame sur son cou du côté gauche, avant de retirer le couteau et de le poser au niveau de ses reins, en piqué. Il avait pu la désarmer et avait posé le couteau en haut d’un meuble (PV aud. 2, p. 4). Quoi qu’en dise l’appelante, les déclarations de D.________ ne sont pas contradictoires et ont été constantes. Ce sont bien des messages adressés par l’appelante à la famille de son compagnon qui sont à l’origine de la dispute. En outre, le couteau a été retrouvé par la police à l’endroit indiqué par D.________ (P. 6, p. 7). Ce n’est donc pas l’appelante qui a indiqué à la police où se trouvait le couteau comme elle l’a déclaré à l’audience d’appel (cf. supra, p. 3). Enfin, comme on l’a vu, la crédibilité de l’appelante est sujette à caution, dès lors qu’il est établi qu’elle a exagéré certains éléments de fait. Ainsi, le premier juge a correctement apprécié les faits, lesquels sont constitutif de mise en danger de la vie d’autrui. Il est en effet constant que le fait de se diriger contre autrui muni d’un couteau en piqué, puis d’apposer la lame sur le cou de son antagoniste est de nature à causer un danger de mort, d’autant plus imminent en l’espèce compte tenu de la violente altercation durant laquelle les faits se sont produits. La condamnation de l’appelante pour mise en danger de la vie d’autrui doit ainsi être confirmée.</w:t>
      </w:r>
    </w:p>
    <w:p>
      <w:r>
        <w:rPr>
          <w:b/>
        </w:rPr>
        <w:t>E. 7</w:t>
      </w:r>
    </w:p>
    <w:p>
      <w:r>
        <w:t>13J010</w:t>
      </w:r>
    </w:p>
    <w:p>
      <w:r>
        <w:t>- 19 -</w:t>
      </w:r>
    </w:p>
    <w:p>
      <w:r>
        <w:rPr>
          <w:b/>
        </w:rPr>
        <w:t>E. 7.1</w:t>
      </w:r>
    </w:p>
    <w:p>
      <w:r>
        <w:t>L’appelante conclut à son acquittement, subsidiairement, à ce qu’une peine pécuniaire lui soit infligée.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et les réf. cit.).</w:t>
      </w:r>
    </w:p>
    <w:p>
      <w:r>
        <w:rPr>
          <w:b/>
        </w:rPr>
        <w:t>E. 7.2.2</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13J010</w:t>
      </w:r>
    </w:p>
    <w:p>
      <w:r>
        <w:t>- 20 -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 ATF 144 IV 313 consid. 1.1.1 ; TF 6B_70/2024 du 27 janvier 2025 consid. 2.1.2).</w:t>
      </w:r>
    </w:p>
    <w:p>
      <w:r>
        <w:rPr>
          <w:b/>
        </w:rPr>
        <w:t>E. 7.2.3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7.2.4</w:t>
      </w:r>
    </w:p>
    <w:p>
      <w:r>
        <w:t>A teneur de l'art. 42 al. 1 CP, le juge suspend en règle générale l'exécution d'une peine pécuniaire ou d'une peine privative de liberté de 13J010</w:t>
      </w:r>
    </w:p>
    <w:p>
      <w:r>
        <w:t>- 21 -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7.3</w:t>
      </w:r>
    </w:p>
    <w:p>
      <w:r>
        <w:t>En l’espèce, la culpabilité de l’appelante est importante. Elle a pris activement part à la dispute avec son compagnon, lors de laquelle elle l’a blessé à plusieurs endroits et l’a agressé avec un couteau, mettant ainsi la vie de celui-ci en danger. Elle n’a par ailleurs pas hésité à largement exagérer les faits qu’elle a dénoncés, dans le but que son conjoint soit puni plus sévèrement. Par le passé, elle avait déjà émis de fausses accusations à l’encontre d’un précédent conjoint. L’appelante ne fait montre d’aucune prise de conscience puisqu’à l’audience d’appel encore, elle persiste à nier l’ensemble des faits qui lui sont reprochés. Il n’y a pas d’élément à décharge, l’absence d’antécédent judiciaire n’étant pas considéré comme 13J010</w:t>
      </w:r>
    </w:p>
    <w:p>
      <w:r>
        <w:t>- 22 - tel. Tout au plus, la Cour de céans constate que les infractions commises par l’appelante s’inscrivent dans le contexte d’une relation manifestement toxique, emprunte de violences conjugales commises à réitérées reprises. L’appelante doit être reconnue coupable de lésions corporelles simples qualifiées, de mise en danger de la vie d’autrui et de dénonciation calomnieuse. Elle conteste encore les faits en appel et continue de se positionner uniquement en victime. Elle n’a pas hésité à exagérer les faits. À cette absence de prise de conscience, vient s’ajouter le fait que l’appelante n’est guère socialisée, ne travaille pas et dépend de l’aide sociale. Il s’ensuit que pour des raisons de prévention spéciale, seule une peine privative de liberté est susceptible de réprimer les comportements de l’appelante. L’infraction la plus grave est la mise en danger de la vie d’autrui, qui sera sanctionnée d’une peine privative de liberté de 4 mois. À cette peine de base, doivent s’ajouter 2 mois pour les lésions corporelles simples qualifiées (peine hypothétique de 3 mois) et 1 mois pour la dénonciation calomnieuse (peine hypothétique de 1.5 mois). La peine d’ensemble doit être fixée à 7 mois. L’absence d’antécédent et le pronostic concernant le comportement de l’appelante, qui n’est pas totalement défavorable, conduisent à assortir la peine du sursis. Le délai d’épreuve sera fixé au minimum légal de 2 ans (art. 44 al. 1 CP). En outre, il y a lieu d’infliger à l’appelante une amende de 1'000 fr. à titre de sanction immédiate (art. 42 al. 4 CP), laquelle sera convertible en une peine privative de liberté de substitution de 30 jours en cas de non-paiement fautif dans le délai qui sera imparti.</w:t>
      </w:r>
    </w:p>
    <w:p>
      <w:r>
        <w:rPr>
          <w:b/>
        </w:rPr>
        <w:t>E. 8</w:t>
      </w:r>
    </w:p>
    <w:p>
      <w:r>
        <w:t>Enfin, comme en première instance, l’appelante conclut à ce que D.________ soit condamné à lui verser une indemnité pour tort moral d’un montant de 5'000 francs. Le montant de 3'000 fr. fixé par le premier juge doit être confirmé. On ne peut ignorer la maltraitance subie par l’appelante. Toutefois, il y a également lieu de tenir compte d’une faute concomitante 13J010</w:t>
      </w:r>
    </w:p>
    <w:p>
      <w:r>
        <w:t>- 23 - de sa part, dès lors qu’elle a pris activement part à l’altercation en blessant également son partenaire. Le montant alloué est ainsi adéquat.</w:t>
      </w:r>
    </w:p>
    <w:p>
      <w:r>
        <w:rPr>
          <w:b/>
        </w:rPr>
        <w:t>E. 9</w:t>
      </w:r>
    </w:p>
    <w:p>
      <w:r>
        <w:t>En définitive, l’appel doit être rejeté et le jugement entrepris confirmé. Le défenseur d’office de F.________, Me Zakia Arnouni, a produit en audience une liste d’opérations (P. 53) faisant état d’un temps consacré au dossier de 13h38. Il n’y a pas lieu de s’écarter de cette liste, sauf à tenir compte de la durée réelle de l’audience d’appel et de réduire la durée estimée de 1h30. C’est donc une durée de 12h08 qui sera indemnisée au tarif horaire de 180 fr., soit 2’184 francs. À cela s’ajoutent les débours forfaitaires à concurrence de 2 %, par 43 fr. 70, une vacation à 120 fr., et la TVA sur le tout, par 190 fr. 15, pour un montant total de de 2'537 fr. 85 qui sera alloué à Me Zakia Arnouni. Vu l’issue de la cause, les frais de la procédure d’appel, par 4'807 fr. 85, constitués des émoluments de jugement et d’audience, par 2’270 fr. (art. 21 al. 1 et 2 TFIP [tarif des frais de procédure et indemnités en matière pénale du 28 septembre 2010 ; BLV 312.03.1]), ainsi que de l’indemnité précitée, sont mis à la charge de F.________, qui succombe (art. 428 al. 1 CPP). F.________ sera tenue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