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PE22.007722 vom 29. Dezember 2022</w:t>
      </w:r>
    </w:p>
    <w:p>
      <w:r>
        <w:t>VD Tribunal cantonal, 2022-12-29, FR</w:t>
      </w:r>
    </w:p>
    <w:p>
      <w:r>
        <w:rPr>
          <w:b/>
        </w:rPr>
        <w:t xml:space="preserve">Quelle: </w:t>
      </w:r>
      <w:r>
        <w:t>https://mcp.opencaselaw.ch/entscheid/vd_gerichte_PE22.007722</w:t>
      </w:r>
    </w:p>
    <w:p>
      <w:r>
        <w:t>FR: VD_GERICHTE PE22.007722 du 29 décembre 2022</w:t>
      </w:r>
    </w:p>
    <w:p>
      <w:r>
        <w:t>IT: VD_GERICHTE PE22.007722 del 29 dicembre 2022</w:t>
      </w:r>
    </w:p>
    <w:p>
      <w:pPr>
        <w:pStyle w:val="Heading2"/>
      </w:pPr>
      <w:r>
        <w:t>Volltext</w:t>
      </w:r>
    </w:p>
    <w:p>
      <w:r>
        <w:t>TRIBUNAL CANTONAL 846 PE22.007722-JBC CHAMBRE DE S RECO URS PEN ALE __________________________________________ Arrêt du 29 décembre 2022 __________________ Composition : Mme BYRDE, présidente Mme Fonjallaz et M. Meylan, juges Greffier : M. Jaunin ***** Art. 125 CP ; 26 al. 1, 31 al. 1, 36 al. 2 LCR ; 14 OCR ; 310 CPP Statuant sur le recours interjeté le 9 juin 2022 par M.________ contre l’ordonnance rendue le 3 juin 2022 par le Ministère public de l’arrondissement de La Côte dans la cause n° PE22.007722-JBC, la Chambre des recours pénale considère : En fait : A. a) Le 21 janvier 2022, vers 12h35, N.________ circulait depuis [...], sur la route [...], en direction de [...]. Parvenu à l’intersection avec la route de [...], laquelle est déclassée par un signal « Stop », complété par une ligne d’attente, il se serait arrêté, puis engagé sur l’artère précitée, laquelle est limitée à 80 km/h, sans toutefois accorder la priorité de passage à W.________, qui circulait de [...] en direction de [...]. À la suite du 351</w:t>
      </w:r>
    </w:p>
    <w:p>
      <w:r>
        <w:t>- 2 - choc, W.________ a immobilisé son véhicule sur le côté droit de la chaussée, respectivement à la hauteur du signal « Stop », lequel se situe sur la route [...], tandis que N.________ a déplacé le sien hors de la chaussée, sur un champ. Quelques minutes plus tard, M.________, qui circulait au volant de son véhicule sur la route [...], de [...] en direction de [...], est à son tour arrivé à l’intersection entre cette artère et la route de [...]. Là, il se serait engagé dans le carrefour, sans accorder la priorité de passage au véhicule conduit par G.________, qui circulait sur la route de [...], depuis [...] en direction de [...]. Malgré un freinage d’urgence, un heurt s’est produit entre l’avant du véhicule de G.________ et le côté droit de la voiture de M.________. A la suite de cet impact, M.________ a souffert d’une fracture du sternum et de coupures sur un doigt de la main gauche (P. 4). Le 15 avril 2022, M.________ a déposé plainte pénale contre G.________, reprochant à celle-ci de ne pas avoir été en mesure d’éviter la collision (PV audition 5). b) M.________ a été entendu le 21 janvier 2022, sur les lieux de l’accident. Il a expliqué qu’il circulait sur le tronçon de [...] en direction de [...] à la vitesse de 60 km/h. Arrivé au carrefour, il s’était arrêté au signal « Stop ». Il y avait deux véhicules accidentés dans le carrefour, mais ceux- ci ne gênaient pas la circulation. Après avoir regardé à gauche et à droite, il s’était engagé dans le carrefour afin de poursuivre sa route en direction de [...]. Alors qu’il se trouvait sur la route perpendiculaire, soit la route de [...], il avait senti un « gros choc » et son véhicule avait été projeté contre celui de W.________, qui était immobilisé sur la chaussée à la suite du premier accident (PV audition 1). Lors de son dépôt de plainte du 15 avril 2022, il a encore précisé qu’avant de s’engager dans l’intersection, il n’avait vu aucun véhicule arriver (PV audition 5). Entendue le même jour, G.________ a déclaré qu’elle circulait à une vitesse comprise entre 40 et 50 km/h, feux de croisement enclenchés, sur la route de [...] en direction de [...]. Parvenue peu avant le croisement</w:t>
      </w:r>
    </w:p>
    <w:p>
      <w:r>
        <w:t>- 3 - avec la route [...], elle avait remarqué la présence de véhicules à gauche et à droite du carrefour, arrêtés au signal « Stop ». Elle avait poursuivi sa route normalement, mais un véhicule blanc, venant de gauche, s’était soudainement élancé et lui avait coupé la priorité, alors qu’elle ne se trouvait plus qu’à une distance comprise entre 10 et 20 mètres. Malgré un freinage d’urgence, elle n’avait pas pu éviter la collision (PV audition 4). c) Par ordonnance pénale du 3 juin 2022, le Ministère public de l’arrondissement de La Côte a condamné M.________ pour violation simple des règles de la circulation routière, à une amende de 500 fr. convertible en 5 jours de peine privative de liberté de substitution en cas de non- paiement fautif (I et II) et a mis le frais de la procédure, arrêtés à 200 fr., à sa charge (III). Il a retenu que M.________ n’avait pas observé le signal « Stop » et s’était engagé dans le carrefour, sans accorder la priorité de passage au véhicule de G.________. Le 17 juin 2022, M.________ a formé opposition à cette ordonnance. B. Par ordonnance du 3 juin 2022, le Ministère public de l’arrondissement de La Côte a refusé d’entrer en matière sur la plainte de M.________ (I) et a laissé les frais à la charge de l’Etat (II). Le procureur a retenu que G.________ circulait sur une voie prioritaire, limitée à 80 km/h, qu’elle avait respecté la vitesse autorisée, se trouvant même en dessous de celle-ci, et qu’elle s’était assurée que la route était dégagée. A ce sujet, il a relevé que M.________ avait lui-même déclaré que les véhicules impliqués dans la précédente collision ne gênaient pas la circulation. Il a également considéré que G.________ ne pouvait pas compter sur le fait que le véhicule du plaignant, arrêté au signal « Stop », allait soudainement lui couper la priorité, le choc étant alors inévitable compte tenu de sa position et de sa vitesse. Il a ainsi retenu que, conformément à la jurisprudence, M.________ était le seul</w:t>
      </w:r>
    </w:p>
    <w:p>
      <w:r>
        <w:t>- 4 - responsable de l’accident, de sorte qu’aucune négligence ne pouvait être reprochée à G.________. C. Par acte du 9 juin 2022 (selon timbre postal), M.________ a recouru contre cette ordonnance, en concluant implicitement à son annulation ainsi qu’à une « estimation dynamique du choc d’après les mesures effectuées par la police pour vérifier la vitesse probable de G.________ ». Par avis du 15 juin 2022, un délai au 5 juillet suivant a été imparti à M.________ pour effectuer un dépôt de 550 fr. à titre de sûretés (art. 383 al. 1 CPP). Le recourant a procédé en temps utile. Dans ses déterminations du 28 décembre 2022, le Ministère public a relevé qu’en se fondant sur les déclarations des parties et la jurisprudence relative au temps de réaction « ordinaire », il était impossible à G.________, même en activant immédiatement les freins de son véhicule, de réduire suffisamment sa vitesse pour éviter l’impact ou pour en diminuer les conséquences. Il a également estimé qu’aucune des hypothèses émises par le recourant n’était de nature à modifier la motivation figurant dans l’ordonnance entreprise et qu’en définitive, la collusion n’était due qu’à un défaut d’attention de M.________.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- 5 - 2009 ; BLV 312.01] ; art. 80 LOJV [Loi vaudoise d’organisation judiciaire du 12 décembre 1979 ; BLV 173.01]). 1.2 En l’espèce, déposé en temps utile devant l’autorité compétente par la partie plaignante qui a qualité pour recourir (art. 382 al. 1 CPP) et satisfaisant aux conditions de forme prescrites (art. 385 al. 1 CPP), le recours de M.________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w:t>
      </w:r>
    </w:p>
    <w:p>
      <w:r>
        <w:t>- 6 -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Le recourant met en cause la vitesse du véhicule conduit par G.________ retenue par le Ministère public. Il invoque l’importance du déplacement latéral de son propre véhicule, soit 4,5 mètres selon lui, et du choc entre les deux voitures. Il en déduit plusieurs « possibilités plausibles » : premièrement, il soutient que la vitesse du véhicule conduit par G.________ pouvait être de 80 km/h, mais il écarte toutefois cette première hypothèse en indiquant que, dans ce cas, il aurait vu ledit véhicule puisqu’il avait regardé, au moment de s’engager, « à environ 90 à 100 mètres » à sa droite. Il expose que, pour parcourir cette distance à cette vitesse, la conductrice aurait eu besoin de 4 secondes, ce qui lui laissait le temps de traverser avec son propre véhicule. Deuxièmement, il invoque que le véhicule conduit par G.________ pouvait se trouver « à peu près à 100 mètres » lorsqu’il a commencé sa manœuvre et que l’intéressée devait rouler plus vite. Il précise que si celle-ci roulait à une vitesse de 120 km/h, elle avait dans le meilleur des cas une distance de 144 mètres pour s’arrêter, et que si elle n’avait pas freiné, elle aurait parcouru 90 mètres en 2,7 secondes « avec une collision au bout ». Troisièmement, il évoque la possibilité qu’elle ait pu être au téléphone et n’ait pas freiné. Selon lui, il serait facile de le contrôler, l’accident s’étant déroulé vers 13 heures. Vu la violence du choc et les hypothèses formulées ci-dessus, il en déduit que G.________ « n’a pas maîtrisé la conduite de son véhicule, soit par distraction soit par vitesse excessive et aurait pu éviter l’accident, ce qui change les responsabilités de chacun ». Il requiert une « estimation dynamique du choc après les mesures effectuées par la police pour vérifier la vitesse probable de G.________ ». 3.1</w:t>
      </w:r>
    </w:p>
    <w:p>
      <w:r>
        <w:t>- 7 - 3.1.1 L'art. 125 al. 1 CP (Code pénal suisse du 21 décembre 1937 ; RS 311.0) réprime le comportement de celui qui, par négligence, aura fait subir à une personne une atteinte à l'intégrité corporelle ou à la santé. Si la lésion est grave, le délinquant sera poursuivi d'office (art. 125 al. 2 CP). La réalisation de cette infraction suppose la réunion de trois éléments constitutifs, à savoir une négligence imputable à l'auteur, des lésions corporelles subies par la victime, ainsi qu'un lien de causalité naturelle et adéquate entre la négligence et les lésions (TF 6B_1081/2020 du 17 novembre 2021 consid. 1 ; TF 6B_33/2021 du 12 juillet 202 consid. 3.1 ;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en particulier d'un accident de la route, il convient de se référer aux règles de la circulation routière (ATF 126 IV 91 consid. 4a/aa ; TF 6B_1081/2021 précité ; TF 6B_33/2021 précité). Une des conditions essentielles pour l’existence d’une violation d’un devoir de prudence et, partant, d’une responsabilité pénale fondée sur la négligence, est la prévisibilité du résultat. Pour l’auteur, le déroulement des évènements jusqu’au résultat doit être prévisible, au moins dans les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w:t>
      </w:r>
    </w:p>
    <w:p>
      <w:r>
        <w:t>- 8 - générale de la vie, à produire ou à favoriser un résultat du type de celui qui est survenu. La causalité adéquate ne doit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l’évènement considéré, reléguant à l’arrière-plan tous les autres facteurs qui ont contribué à amener celui-ci, notamment le comportement de l’auteur (ATF 143 III 242 consid. 3.7 ; ATF 134 IV 255 consid. 4.4.2 ; ATF 133 IV 158 consid. 6.1 ; ATF 131 IV 145 consid. 5.2. ; cf. en matière de circulation routière : ATF 127 IV 34 consid. 2a ; TF 6B_1280/2019 du 5 février 2020 consid. 4.1). 3.1.2 A teneur de l'art. 31 al. 1 LCR (Loi fédérale sur la circulation routière du 19 décembre 1958 ; RS 741.01), le conducteur devra rester constamment maître de son véhicule de façon à pouvoir se conformer aux devoirs de la prudence. L'art. 3 al. 1 OCR (Ordonnance sur les règles de la circulation routière du 13 novembre 1962;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1C_135/2022 du 24 août 2022 consid. 2.2 ; TF 6B_1081/2020 du 17 novembre 2021 consid. 1.3.2 et les références citées). Lorsqu'un conducteur doit prêter son attention visuelle principalement dans une direction déterminée, on peut admettre que son attention soit moindre dans les autres (ATF 122 IV 225 consid. 2b ; 6B_1081/2020 précité consid. 1.3.2 et la référence citée). Le conducteur doit avant tout porter son attention, outre sur sa propre voie de circulation (TF 6B_1081/2020 précité ; TF 6B_783/2008 du 4 décembre 2008 consid. 3.3), sur les dangers auxquels on doit s'attendre et peut ne prêter qu'une attention secondaire à d'éventuels</w:t>
      </w:r>
    </w:p>
    <w:p>
      <w:r>
        <w:t>- 9 - comportements inhabituels ou aberrants (ATF 122 IV 225 consid. 2c ; TF 6B_1081/2020 précité, TF 6B_33/2021 du 12 juillet 2021 consid. 3.2.2). 3.1.3 Selon l'art. 36 al. 2 LCR, aux intersections, le véhicule qui vient de droite a la priorité. Les véhicules circulant sur une route signalée comme principale ont la priorité, même s'ils viennent de gauche. Aux intersections, le droit de priorité s'étend sur toute la surface de l'intersection des routes en cause, sous réserve de la présence de signaux et de marques (ATF 143 IV 500 consid. 1.2.1 ; ATF 116 IV 157 consid. 1). A teneur de l'art. 27 al. 1 LCR, chacun se conformera aux signaux et aux marques ainsi qu'aux ordres de la police. L’art. 36 al. 1 de l’ordonnance sur la signalisation routière (OSR ; RS 741.21) prévoit que le signal « Stop » (3.01) oblige le conducteur à s’arrêter et à accorder la priorité aux véhicules circulant sur la route dont il s’approche. l lui appartenait d'user davantage de précautions pour s'assurer qu'il ne couperait pas la route au véhicule arrivant sur le tronçon prioritaire, dont il ne pouvait apprécier la distance et la vitesse de manière satisfaisante. A teneur de l'art. 14 OCR, celui qui est tenu d'accorder la priorité ne doit pas gêner dans sa marche le conducteur bénéficiaire de la priorité. Il réduira sa vitesse à temps et, s'il doit attendre, s'arrêtera avant le début de l'intersection. L'arrêt s'impose, en particulier dès que le non- prioritaire constatera qu'il ne pourrait pas libérer la route prioritaire avant l'arrivée du prioritaire et ce, avec une marge de sécurité suffisante et si la situation n'est pas claire (ATF 143 IV 500 consid. 1.2.1 ; TF 6B_299/2011 du 1er septembre 2011, publié in JdT 2011 I 323 consid. 3.2 et les références citées). Le bénéficiaire de la priorité est gêné dans sa marche au sens de cette disposition,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w:t>
      </w:r>
    </w:p>
    <w:p>
      <w:r>
        <w:t>- 10 - l'entrave au droit de priorité ne dépend pas du point de savoir si l'ayant droit l'a prévue et a réagi en conséquence (ATF 143 IV 500 consid. 1.2.1 et les références citées).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143 IV 500 consid. 1.2.2 et les références citées). 3.1.4 L’art. 26 al. 1 LCR prévoit que chacun doit se comporter, dans la circulation, de manière à ne pas gêner ni mettre en danger ceux qui utilisent la route conformément aux règles établies. La jurisprudence a déduit de cette règle le principe de la confiance, lequel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143 IV 500 consid. 1.2.4 ; ATF 143 IV 138 consid. 2.1 ; ATF 125 IV 38 consid. 2b et les références citées). Seul celui qui s'est comporté réglementairement peut invoquer le principe de la confiance (ATF 143 IV 500 consid. 1.2.4 ; ATF 129 IV 282 consid. 2.2.1 ; TF 6B_760/2021 du 8 octobre 2021 consid. 3.1).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129 IV 282 consid. 2.2.1 et les références citées ; TF 6B_631/2018 du 24 octobre 2018 consid. 1.2).</w:t>
      </w:r>
    </w:p>
    <w:p>
      <w:r>
        <w:t>- 11 -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(ATF 143 IV 500 consid. 1.2.4 ; TF 6B_631/2018 précité). 3.2 En l’espèce, le recourant formule diverses hypothèses pour tenter d’expliquer l’accident. Selon lui, G.________ n’aurait pas été en mesure de maîtriser la conduite de son véhicule, soit par distraction (utilisation du téléphone), soit en raison d’une vitesse excessive. De son côté, le Ministère public considère que l’accident n’est dû qu’à un défaut d’attention du recourant, celui-ci n’ayant pas respecté le signal « Stop » et s’étant engagé dans un carrefour, sans s’assurer que la chaussée était libre de tout véhicule provenant sur sa droite. Cela étant, il faut constater que la procédure diligentée sur plainte de M.________ contre G.________ est, en partie du moins, intrinsèquement liée au résultat de l’instruction dirigée contre le recourant pour violation simple des règles de la circulation. Or, celle-ci est toujours pendante puisque le recourant, qui conteste avoir commis une faute de circulation, a formé opposition à l’ordonnance pénale rendue à son encontre le 3 juin 2022, de sorte qu’il appartiendra au procureur d’administrer, le cas échéant, les autres preuves nécessaires au jugement de l’opposition (art. 355 al. 1 CPP). Il s’ensuit qu’à ce stade, et même si l’argumentation du procureur n’est pas dénuée de pertinence, le recourant bénéficie toujours de la présomption d’innocence. On ignore également les suites qui seront données aux éventuelles réquisitions de preuves qui ont été ou seront formulées par le recourant, et a fortiori leur résultat. Partant,</w:t>
      </w:r>
    </w:p>
    <w:p>
      <w:r>
        <w:t>- 12 - le Ministère public ne pouvait refuser d’entrer en matière sur la plainte déposée par le recourant au motif que celui-ci aurait été entièrement responsable de l’accident, en d’autres termes qu’il serait lui-même coupable d’une violation des règles de la circulation, ce qui, en l’état, est contesté. Il s’ensuit que l’ordonnance querellée doit être annulée et l’instruction dirigée contre G.________ suspendue jusqu’à droit connu sur le sort de l’enquête instruite contre M.________, à charge, dans l’intervalle, pour le procureur d’établir précisément le complexe de faits. 4. Au vu de ce qui précède, le recours doit être admis, l’ordonnance entreprise annulée et la cause renvoyée au Ministère public afin qu’il ouvre une instruction pénale contre G.________ et suspende cette enquête jusqu’à droit connu sur le sort de l’opposition formée par M.________ contre l’ordonnance pénale du 3 juin 2022. Vu le sort du recours, les frais de la procédure, constitués en l’espèce de l’émolument d'arrêt, par 1'210 fr. (art. 20 al. 1 et 2 TFIP [Tarif des frais judiciaires et indemnités en matière pénale du 28 septembre 2010 ; BLV 312.03.1]), seront laissés à la charge de l’Etat. Le montant de 550 fr. versé par le recourant à titre d’avance de frais lui sera restitué. Par ces motifs, la Chambre des recours pénale prononce : I. Le recours est admis. II. L’ordonnance du 3 juin 2022 est annulée. III. Le dossier de la cause est renvoyé au Ministère public de l’arrondissement de Lausanne pour qu’il statue dans le sens des considérants. IV. Les frais d’arrêt, par 1’210 fr. (mille deux cent dix francs), sont laissés à la charge de l’Etat. V. Le montant de 550 fr. (cinq cent cinquante francs) versé par M.________ à titre d’avance de frais lui est restitué. VI. L’arrêt est exécutoire.</w:t>
      </w:r>
    </w:p>
    <w:p>
      <w:r>
        <w:t>- 13 - La présidente : Le greffier : Du Le présent arrêt, dont la rédaction a été approuvée à huis clos, est notifié, par l'envoi d'une copie complète, à : - M.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