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PE22.007180 vom 19. August 2022</w:t>
      </w:r>
    </w:p>
    <w:p>
      <w:r>
        <w:t>VD Tribunal cantonal, 2022-08-19, FR</w:t>
      </w:r>
    </w:p>
    <w:p>
      <w:r>
        <w:rPr>
          <w:b/>
        </w:rPr>
        <w:t xml:space="preserve">Quelle: </w:t>
      </w:r>
      <w:r>
        <w:t>https://mcp.opencaselaw.ch/entscheid/vd_gerichte_PE22.007180</w:t>
      </w:r>
    </w:p>
    <w:p>
      <w:r>
        <w:t>FR: VD_GERICHTE PE22.007180 du 19 août 2022</w:t>
      </w:r>
    </w:p>
    <w:p>
      <w:r>
        <w:t>IT: VD_GERICHTE PE22.007180 del 19 agosto 2022</w:t>
      </w:r>
    </w:p>
    <w:p>
      <w:pPr>
        <w:pStyle w:val="Heading2"/>
      </w:pPr>
      <w:r>
        <w:t>Erwägungen</w:t>
      </w:r>
    </w:p>
    <w:p>
      <w:r>
        <w:rPr>
          <w:b/>
        </w:rPr>
        <w:t>E. 17</w:t>
      </w:r>
    </w:p>
    <w:p>
      <w:r>
        <w:t>mai 2018 consid. 4.1). L'interdiction de la double poursuite constitue un empêchement de procéder, dont il doit être tenu compte à chaque stade de la procédure (ATF 144 IV précité consid. 1.3.2 p. 366). L'interdiction de la double punition ne déploie ses effets que si le juge du premier procès avait la compétence d'examiner les faits sous toutes les qualifications envisageables (ATF 122 la 257 consid. 3 ; Favre/Pellet/Stoudmann, Code pénal annoté, 3e éd., Lausanne 2007/2011, n. 1.20 ad art. 1 CP). Le justiciable ne peut exiger que les faits qui lui sont reprochés soient jugés par une seule autorité dans une seule et même procédure (ATF 119 Ib 311 consid. 3c ; Favre/Pellet/ Stoudmann, op. cit., n. 1.23 ad art. 1 CP). 4.3 En l’espèce, comme l’a observé le premier juge, l’appelant a bénéficié d’une procédure de classement pour une contravention de droit communal et a été condamné par la décision attaquée pour une contravention de droit cantonal, selon des procédures distinctes de la compétence d’autorité distinctes. L’art. 3 al. 1, seconde phrase, RLPolC, déjà cité, précise d’ailleurs que les exigences communales d'identification restent réservées. On ne discerne ainsi aucune violation du principe ne bis in idem. 4.4 Enfin, la quotité de l’amende n’est pas contestée, pas plus que ne l’est la peine privative de liberté de substitution . 5. En définitive, l’appel doit être rejeté et le jugement entrepris confirmé. Les frais de la procédure d’appel, constitués en l’espèce du seul émolument de jugement, par 540 fr. (art. 21 al. 1 TFIP [Tarif des frais de procédure et indemnités en matière pénale du 28 septembre 2010 ;</w:t>
      </w:r>
    </w:p>
    <w:p>
      <w:r>
        <w:t>- 8 - BLV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