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PE22.006645 vom 5. Oktober 2022</w:t>
      </w:r>
    </w:p>
    <w:p>
      <w:r>
        <w:t>VD Tribunal cantonal, 2022-10-05, FR</w:t>
      </w:r>
    </w:p>
    <w:p>
      <w:r>
        <w:rPr>
          <w:b/>
        </w:rPr>
        <w:t xml:space="preserve">Quelle: </w:t>
      </w:r>
      <w:r>
        <w:t>https://mcp.opencaselaw.ch/entscheid/vd_gerichte_PE22.006645</w:t>
      </w:r>
    </w:p>
    <w:p>
      <w:r>
        <w:t>FR: VD_GERICHTE PE22.006645 du 5 octobre 2022</w:t>
      </w:r>
    </w:p>
    <w:p>
      <w:r>
        <w:t>IT: VD_GERICHTE PE22.006645 del 5 ottobre 2022</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w:t>
      </w:r>
    </w:p>
    <w:p>
      <w:r>
        <w:t>- 5 - mai 2009; BLV 312.01]; art. 80 LOJV [Loi d’organisation judiciaire du 12 décembre 1979; BLV 173.01]). En l’espèce, interjeté en temps utile devant l’autorité compétente, par la partie plaignante qui a qualité pour recourir (art. 382 al. 1 CPP) et dans les formes prescrites (art. 385 al. 1 CPP), le recours d’P.________ est recevable. Les pièces nouvelles produites avec le recours (P. 6/2/3 à P. 6/2/7) sont également recevables, de même que les pièces versées au dossier les 10 juin et 14 août 2022 (art. 389 al. 3 CPP). Les pièces P. 10/1 et P. 10/2 produites le 4 octobre 2022 sont quant à elles irrecevables, leur production étant largement tardive et celles-ci n’étant pas décisives et essentielles au traitement du recours (cf. art. 389 al. 3 CPP ; Moreillon/Parein-Reymond, Petit commentaire du Code de procédure pénale, 2e éd., Bâle 2016, n. 10 ad art. 389 al. 3 CPP).</w:t>
      </w:r>
    </w:p>
    <w:p>
      <w:r>
        <w:rPr>
          <w:b/>
        </w:rPr>
        <w:t>E. 2</w:t>
      </w:r>
    </w:p>
    <w:p>
      <w:r>
        <w:t>Conformément à l'art. 310 al. 1 let. a CPP, le Ministère public rend immédiatement – c'est-à-dire sans qu'une instruction soit ouverte (art. 309 al. 1 et 4 CPP ; ATF 144 IV 86 consid. 2.3.3 ; Grodecki/Cornu, in : Jeanneret/Kuhn/Perrier Depeursinge [éd.], op. cit.,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w:t>
      </w:r>
    </w:p>
    <w:p>
      <w:r>
        <w:t>- 6 - 101]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 ATF 137 IV 285 consid.</w:t>
      </w:r>
    </w:p>
    <w:p>
      <w:r>
        <w:rPr>
          <w:b/>
        </w:rPr>
        <w:t>E. 2.3</w:t>
      </w:r>
    </w:p>
    <w:p>
      <w:r>
        <w:t>et réf. cit., JdT 2012 IV 160). Les indices relatifs à la commission d'une infraction impliquant l'ouverture d'une instruction doivent toutefois être importants et de nature concrète. De simples rumeurs ou de simples suppositions ne suffisent pas ; le soupçon initial doit au contraire reposer sur une base factuelle plausible, laissant apparaître la possibilité concrète qu'une infraction ait été commise (ATF 141 IV 87 consid. 1.3.1 ; TF 6B_488/2021 du 22 décembre 2021 consid. 5.3 et réf. cit.).</w:t>
      </w:r>
    </w:p>
    <w:p>
      <w:r>
        <w:rPr>
          <w:b/>
        </w:rPr>
        <w:t>E. 3.1</w:t>
      </w:r>
    </w:p>
    <w:p>
      <w:r>
        <w:t>Invoquant une violation de l’art. 310 CPP, le recourant reproche au Ministère public d’avoir refusé d’entrer en matière sur sa plainte. Il fait valoir en substance que, à l’endroit où il devait monter dans le wagon première classe, la différence de niveau serait de 25 cm, que la conformité de cette hauteur aux normes de sécurité applicables aux véhicules de transport ferroviaire de personnes devrait être examinée, que la question de « la violation d’un devoir de diligence, de protection et/ou de sécurité » à l’origine de sa chute devrait être appréciée et que les lésions consécutives à sa chute, en marge de ses problèmes médicaux antérieurs, ressortiraient des pièce médicales produites.</w:t>
      </w:r>
    </w:p>
    <w:p>
      <w:r>
        <w:t>- 7 -</w:t>
      </w:r>
    </w:p>
    <w:p>
      <w:r>
        <w:rPr>
          <w:b/>
        </w:rPr>
        <w:t>E. 3.2.1</w:t>
      </w:r>
    </w:p>
    <w:p>
      <w:r>
        <w:t>Selon l’art. 122 CP (Code pénal suisse du 21 décembre 1937 ; RS 311.0),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Les lésions corporelles simples au sens de l’art. 123 CP sont définies par exclusion des lésions corporelles graves au sens de l’art. 122 CP.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du 5 juin 2019 consid. 5.1 ; TF 6B_1003/2018 du 18 décembre 2018 consid. 1.2.4 et réf. cit.).</w:t>
      </w:r>
    </w:p>
    <w:p>
      <w:r>
        <w:rPr>
          <w:b/>
        </w:rPr>
        <w:t>E. 3.2.2</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 réalisation de cette infraction suppose la réunion de trois conditions : l'existence de lésions corporelles, une négligence et un lien de causalité entre la négligence et les lésions. L’application de l’art. 125 al. 2 CP suppose que la victime ait subi des lésions corporelles qui soient graves au sens de l'art. 122 CP. Deux conditions doivent être remplies pour qu'il y ait négligence. En premier lieu, il faut que l'auteur viole les règles de la</w:t>
      </w:r>
    </w:p>
    <w:p>
      <w:r>
        <w:t>- 8 -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Pour déterminer plus précisément les devoirs imposés par la prudence, on peut se référer à des normes édictées par l'ordre juridique pour assurer la sécurité et éviter des accidents (ATF 143 IV 138 consid. 2.1). Une violation du devoir de prudence peut aussi être retenue au regard des principes généraux, si aucune règle spéciale de sécurité n'a été violée (ATF 135 IV 56 consid. 2.1 ; ATF 134 IV 255 consid. 4.2.3 ; ATF 134 IV 193 consid. 7.2). En second lieu, la violation du devoir de prudence doit être fautive, c'est-à-dire qu'il faut pouvoir reprocher à l'auteur une inattention ou un manque d'effort blâmable (ATF 145 IV 154 précité et réf. cit.).</w:t>
      </w:r>
    </w:p>
    <w:p>
      <w:r>
        <w:rPr>
          <w:b/>
        </w:rPr>
        <w:t>E. 3.2.3</w:t>
      </w:r>
    </w:p>
    <w:p>
      <w:r>
        <w:t>La LHand (Loi fédérale du 13 décembre 2002 sur l’élimination des inégalités frappant les personnes handicapées ; RS 151.3) a pour but de prévenir, de réduire ou d’éliminer les inégalités qui frappent les personnes handicapées (art. 1 al. 1 LHand). L’art. 2 al. 1 LHand définit la personne handicapée comme étant toute personne dont la déficience corporelle, mentale ou psychique présumée durable l’empêche d’accomplir les actes de la vie quotidienne, d’entretenir des contacts sociaux, de se mouvoir, de suivre une formation ou une formation continue ou d’exercer une activité professionnelle, ou la</w:t>
      </w:r>
    </w:p>
    <w:p>
      <w:r>
        <w:t>- 9 - gêne dans l’accomplissement de ces activités. Il y a inégalité dans l’accès à une construction, à une installation, à un logement ou à un équipement ou véhicule des transports publics lorsque cet accès est impossible ou difficile aux personnes handicapées pour des raisons d’architecture ou de conception du véhicule (art. 2 al. 3 LHand). Les art. 7 et 8 LHand accordent aux personnes handicapées des droits subjectifs en matière de constructions, d’équipements ou de véhicules et en matière de prestations. Toute personne qui subit une inégalité au sens de l’art. 2 al. 3 LHand, peut, dans le cas d’un équipement ou d’un véhicule des transports publics au sens de l’art. 3 let. b de la loi, demander à l’autorité compétente que l’entreprise concessionnaire élimine l’inégalité ou qu’elle s’en abstienne (art. 7 al. 2 LHand), ou le versement d’une indemnité (art. 8 al. 3 LHand).</w:t>
      </w:r>
    </w:p>
    <w:p>
      <w:r>
        <w:rPr>
          <w:b/>
        </w:rPr>
        <w:t>E. 3.3</w:t>
      </w:r>
    </w:p>
    <w:p>
      <w:r>
        <w:t>En l’espèce, lorsque le recourant a pris le train en direction de Zurich à la gare de Lausanne le 10 janvier 2022, il a fait le choix de monter dans un wagon de tête de première classe où la distance entre le niveau du quai et celui de la première marche du wagon était relativement importante. Au moment où la sonnerie a annoncé la fermeture imminente des portes, le recourant, qui avait de la peine à monter dans le wagon, a dit avoir stressé et paniqué, et s’être accroché aux barres fixées au wagon, avant de tomber en avant dans le wagon et de se blesser à l’épaule et au genou. Le Ministère public a considéré que les éléments constitutifs des infractions de lésions corporelles simples et de lésions corporelles graves par négligence n’étaient pas réalisés. Tout d’abord, le recourant a, de son propre aveu, pris le train le 10 janvier 2022 pour se rendre à l’Hôpital universitaire de Zurich pour faire une IRM et au moment où il est monté dans le train, son état de santé était déjà dégradé et il souffrait déjà de « douleurs intolérables jour et nuit » (P. 9). Le plaignant, âgé de 77 ans, n’a apporté la preuve du fait qu’il avait subi des lésions corporelles lors de sa chute du 10 janvier 2022 qu’en deuxième instance, lorsqu’il a produit, à l’appui de son recours, les rapports et les courriers établis les 10 janvier 2022 par le Service de</w:t>
      </w:r>
    </w:p>
    <w:p>
      <w:r>
        <w:t>- 10 - radiologie de l’Hôpital universitaire de Zurich, 17 février 2022 par le Service de physiothérapie de la [...], 15 février 2022 par le Service de rhumatologie du CHUV, 21 mars 2022 par le Dr [...] et 3 mai 2022 par le Service de réadaptation de l’appareil locomoteur de la Clinique de [...] (P. 6/2/3 à P. 6/2/7). A la lecture de ces documents, on constate que l’état de santé du recourant était déjà bien fragilisé avant les faits, qu’il avait déjà subi plusieurs interventions, qu’il était notamment suivi par un rhumatologue depuis 12 ans pour une maladie de Forestier évolutive, qu’il était connu pour une cardiopathie ischémique qui avait nécessité la pose de stents en 2007 et 2018, qu’il avait déjà bénéficié d’une prise en charge en clinique de réhabilitation en 2017, 2018, 2019 2020 et 2021 en raison de problèmes de mobilité et de douleurs chroniques et que, au moment des faits, il présentait déjà des douleurs chroniques des quatre membres, plus marquées à l’épaule et au genou gauches. Si les documents médicaux produits ne permettent pas de déterminer précisément quelles lésions ont été entraînées par la chute litigieuse, il apparaît que les douleurs chroniques que le recourant présentait déjà aux quatre membres se sont encore aggravées en raison de sa chute du 10 janvier 2022. L’existence de lésions corporelles simples est donc avérée. Dans sa plainte, le recourant s’est indigné du court laps de temps durant lequel le train dans lequel il était monté était resté en gare en raison de son retard, sans toutefois prétendre que les portes se seraient refermées avant qu’il ait été à l’intérieur du wagon, ni que le train serait parti alors qu’il était encore sur les marches du wagon. Ainsi, dans son récit, le recourant n’expose pas le moindre motif factuel ou juridique permettant de se convaincre que les F.________ auraient violé leur devoir de prudence. En effet, le plaignant a fait le choix de monter dans un wagon première classe à un endroit inadéquat pour lui, comme l’atteste le fait que, de son propre aveu, il « n’arrivais[t] pas à monter dans le wagon » en raison de son état de santé déjà dégradé et de ses douleurs (P. 9). Pour des raisons de sécurité, cela même pour des trains transportant plusieurs centaines de voyageurs, le chef de train ne donne pas le départ si des voyageurs sont encore en train de monter dans un wagon. Le plaignant a admis lui-même avoir stressé et paniqué au</w:t>
      </w:r>
    </w:p>
    <w:p>
      <w:r>
        <w:t>- 11 - moment où le signal sonore avertissant la prochaine fermeture des portes avait retenti, mais avoir tout de même réussi à monter dans le train. On ne voit dès lors pas quel devoir de prudence aurait été violé par les F.________. Mal fondé, ce moyen doit être rejeté. Le plaignant s’en est également pris à la hauteur des marches du train qu’il considère comme excessive. Le recourant ne prétend pas être un handicapé au sens de la LHand, loi qui ne lui est d’ailleurs pas applicable et qui ne lui permettrait de toute manière pas de retenir une violation du devoir de diligence des F.________ en cas de non-conformité constatée, mais uniquement un droit à la suppression de l’inégalité ou au versement d’une indemnité pour non-respect d’une prescription (cf. art. 7 al. 2 et 8 al. 3 LHand). Les photographies montrant une personne mesu- rant la hauteur de la première marche d’un wagon (P. 9) n’ont aucune force probante pour établir la hauteur de la marche utilisée par le recourant, seule pertinente, dès lors que l’on ignore dans quelles conditions celles-ci ont été prises. Quoi qu’il en soit, la hauteur de la première marche de l’escalier du train emprunté par le recourant, même supérieure à 230 mm, était conforme aux normes en vigueur puisque, comme l’a relevé l’OFT dans son courrier du 11 mai 2022 (P. 9), le délai d’adaptation aux normes européennes n’arrivera à échéance qu’en 2040. En outre, la présence d’un wagon avec un accès de plain-pied (P. 9), qui n’est pas contestée par le recourant, montre bien la volonté des F.________ de faciliter et de sécuriser l’accès aux wagons de ses trains aux passagers à mobilité réduite. Si, en raison d’un problème physique, le plaignant était dans l’incapacité de monter la marche qui lui permettait d’accéder aux wagons de première classe, il lui appartenait de demander de l’aide au contrôleur, qui l’aurait alors dirigé sur l’accès de plain-pied. Il ne saurait reprocher aux F.________ son propre comportement qui, en l’occurrence, est, de son propre aveu, seul en cause dans le fait qu’il a paniqué, stressé et tiré fort sur les rampes pour monter dans le wagon ; toujours de son propre aveu, c’est ce stress et cet effort qui l’ont fait tomber en avant dans le wagon. Dans ces conditions, aucune norme de sécurité n'a été violée par les F.________ et aucun manquement blâmable ne peut leur être reproché. Partant, aucune négligence ne peut être imputée aux F.________,</w:t>
      </w:r>
    </w:p>
    <w:p>
      <w:r>
        <w:t>- 12 - de sorte que les éléments constitutifs de l’infraction de lésions corporelles par négligence au sens de l’art. 125 CP ne sont manifestement pas réunis. C’est donc à juste titre que le Ministère public n’est pas entré en matière sur la plainte de P.________, les conditions de l’art. 310 al. 1 let. a CPP étant réalisées.</w:t>
      </w:r>
    </w:p>
    <w:p>
      <w:r>
        <w:rPr>
          <w:b/>
        </w:rPr>
        <w:t>E. 4</w:t>
      </w:r>
    </w:p>
    <w:p>
      <w:r>
        <w:t>Il résulte de ce qui précède que le recours interjeté par P.________, manifestement mal fondé, doit être rejeté, sans échange d’écritures (art. 390 al. 2 CPP) et l’ordonnance entreprise confirmée.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1re phr., CPP). Ces frais seront compensés à due concurrence avec le montant des sûretés de 550 fr. déjà versé par le recourant, le solde de 660 fr. restant à sa charge (art. 7 TFIP). Par ces motifs, la Chambre des recours pénale prononce : I. Le recours est rejeté. II. L’ordonnance du 6 mai 2022 est confirmée. III. Les frais d’arrêt, par 1'210 fr. (mille deux cent dix francs), sont mis à la charge d’P.________.</w:t>
      </w:r>
    </w:p>
    <w:p>
      <w:r>
        <w:t>- 13 - IV. L’avance de frais de 550 fr. (cinq cent cinquante francs) versée par P.________ est imputée sur les frais mis à sa charge au chiffre III ci-dessus, le solde dû s’élevant à 660 fr. (six cent soixante francs). V. L’arrêt est exécutoire. La présidente : La greffière : Du Le présent arrêt, dont la rédaction a été approuvée à huis clos, est notifié, par l'envoi d'une copie complète, à : - M.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