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PE22.006628 vom 12. Mai 2022</w:t>
      </w:r>
    </w:p>
    <w:p>
      <w:r>
        <w:t>VD Tribunal cantonal, 2022-05-12, FR</w:t>
      </w:r>
    </w:p>
    <w:p>
      <w:r>
        <w:rPr>
          <w:b/>
        </w:rPr>
        <w:t xml:space="preserve">Quelle: </w:t>
      </w:r>
      <w:r>
        <w:t>https://mcp.opencaselaw.ch/entscheid/vd_gerichte_PE22.006628</w:t>
      </w:r>
    </w:p>
    <w:p>
      <w:r>
        <w:t>FR: VD_GERICHTE PE22.006628 du 12 mai 2022</w:t>
      </w:r>
    </w:p>
    <w:p>
      <w:r>
        <w:t>IT: VD_GERICHTE PE22.006628 del 12 maggio 2022</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2e éd., Bâle 2019 [ci-après : CR</w:t>
      </w:r>
    </w:p>
    <w:p>
      <w:r>
        <w:t>- 3 - CPP], n. 16 ad art. 136 CPP ; CREP 1er février 2022/68 consid. 1.4).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Jeanneret et al. [éd.], CR CPP, n. 20 ad art. 385 CPP).</w:t>
      </w:r>
    </w:p>
    <w:p>
      <w:r>
        <w:t>- 4 -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w:t>
      </w:r>
    </w:p>
    <w:p>
      <w:r>
        <w:rPr>
          <w:b/>
        </w:rPr>
        <w:t>E. 2</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w:t>
      </w:r>
    </w:p>
    <w:p>
      <w:r>
        <w:t>- 5 -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Le fait que la partie adverse soit assistée d'un avocat peut également devoir être pris en considération (Harari/Corminboeuf Harari, op. cit., n. 64 ad art. 136 CPP).</w:t>
      </w:r>
    </w:p>
    <w:p>
      <w:r>
        <w:rPr>
          <w:b/>
        </w:rPr>
        <w:t>E. 3</w:t>
      </w:r>
    </w:p>
    <w:p>
      <w:r>
        <w:t>En l’espèce, la recourante se limite à indiquer qu’elle n’a pas de fortune, qu’elle est endettée et que son pécule s’élève à quelque 300 fr. par mois. Elle s’en tient ainsi à des considérations d’ordre général sur sa situation financière. En cela, elle fait uniquement valoir son indigence. Ce point n’est toutefois pas contesté par le procureur. En effet, celui-ci en a tenu compte puisqu’il a accordé partiellement l’assistance judiciaire en exonérant l’intéressée des frais de procédure. Il a revanche refusé la désignation d’un conseil juridique gratuit au motif que la cause ne présentait pas de difficultés en fait ou en droit. Or, la recourante n’expose pas en quoi ce raisonnement serait erroné, de sorte qu’on ne distingue pas ce qui commanderait une autre décision. Il s’ensuit qu’elle ne respecte pas les exigences de motivation de l’art. 385 al.1 CP. Un tel vice ne saurait de plus justifier qu’un délai supplémentaire lui soit fixé pour compléter son</w:t>
      </w:r>
    </w:p>
    <w:p>
      <w:r>
        <w:t>- 6 - acte en application de l’art. 385 al. 2 CPP. Le recours est donc irrecevable. A supposer recevable, le recours devrait de toute manière être rejeté dès lors que les intérêts de la recourante, qui a déposé plainte pour calomnie en raison de propos tenus par l’une de ses codétenues, n’exigent pas la désignation d’un conseil juridique gratuit. La cause ne présente en effet aucune difficulté particulière, ni en fait ni en droit. On constatera d’ailleurs que la recourante a déposé seule une plainte pénale parfaitement intelligible et que rien n’indique qu’elle ne sera pas en mesure de défendre ses intérêts sans l’assistance d’un avocat. Par ailleurs, il apparaît peu vraisemblable, à la lecture des faits reprochés, que de nombreuses auditions soient nécessaires à l’instruction de la cause. Dans ces circonstances, c’est à juste titre que le Ministère public lui a refusé la désignation d’un conseil juridique gratuit.</w:t>
      </w:r>
    </w:p>
    <w:p>
      <w:r>
        <w:rPr>
          <w:b/>
        </w:rPr>
        <w:t>E. 4</w:t>
      </w:r>
    </w:p>
    <w:p>
      <w:r>
        <w:t>Il résulte de ce qui précède que le recours est irrecevable. Les frais de la procédure de recours, constitués en l’espèce du seul émolument d’arrêt (art. 422 al. 1 CPP), par 660 fr. (art. 20 al. 1 TFIP [Tarif des frais de procédure et indemnités en matière pénale du 28 septembre 2010 ; BLV 312.03.1]), ne peuvent pas être de suite mis à la charge de la recourante, qui succombe (art. 428 al. 1, 1re phrase, CPP), mais doivent être provisoirement laissés à la charge de l’Etat (Harari/Corminboeuf Harari, op. cit., n. 51 ad art. 136 CPP), dès lors que celle-ci bénéficie de l’assistance judiciaire sous la forme de l’exonération des frais de procédure (CREP 14 février 2022/118 consid. 5 ; art. 136 al. 2 let. b CPP).</w:t>
      </w:r>
    </w:p>
    <w:p>
      <w:r>
        <w:t>- 7 - Par ces motifs, la Chambre des recours pénale prononce : I. Le recours est irrecevable. II. Les frais d’arrêt, par 660 fr. (six cent soixante francs), sont mis à la charge de P.________, et sont supportés provisoirement par l’Etat. III. L’arrêt est exécutoire. La présidente : Le greffier : Du Le présent arrêt, dont la rédaction a été approuvée à huis clos, est notifié, par l'envoi d'une copie complète, à : - Mme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