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PE22.006384 vom 1. Mai 2024</w:t>
      </w:r>
    </w:p>
    <w:p>
      <w:r>
        <w:t>VD Tribunal cantonal, 2024-05-01, FR</w:t>
      </w:r>
    </w:p>
    <w:p>
      <w:r>
        <w:rPr>
          <w:b/>
        </w:rPr>
        <w:t xml:space="preserve">Quelle: </w:t>
      </w:r>
      <w:r>
        <w:t>https://mcp.opencaselaw.ch/entscheid/vd_gerichte_PE22.006384</w:t>
      </w:r>
    </w:p>
    <w:p>
      <w:r>
        <w:t>FR: VD_GERICHTE PE22.006384 du 1 mai 2024</w:t>
      </w:r>
    </w:p>
    <w:p>
      <w:r>
        <w:t>IT: VD_GERICHTE PE22.006384 del 1 maggio 2024</w:t>
      </w:r>
    </w:p>
    <w:p>
      <w:pPr>
        <w:pStyle w:val="Heading2"/>
      </w:pPr>
      <w:r>
        <w:t>Erwägungen</w:t>
      </w:r>
    </w:p>
    <w:p>
      <w:r>
        <w:rPr>
          <w:b/>
        </w:rPr>
        <w:t>E. 1.1</w:t>
      </w:r>
    </w:p>
    <w:p>
      <w:r>
        <w:t>Originaire de [...], R.________ est né le [...] à [...]. Il est le dernier d’une fratrie de [...] enfants. Après sa scolarité obligatoire, il a effectué un apprentissage de [...], et a obtenu son certificat fédéral de capacité (CFC). Après son apprentissage, il a travaillé dans ce domaine d’activité quelque temps, pour divers employeurs en Suisse. Il a vécu par la suite durant une année aux [...] où il organisait des [...], puis au [...]. A son retour en Suisse, en 2012, il a effectué une formation d’[...] durant trois ans et obtenu un diplôme. Il a travaillé dans ce domaine d’activité. Il notamment été actif dans l’organisation de séjours pour [...], à l’enseigne [...]. Au moment de l’ouverture de l’enquête, le prévenu était au bénéfice d’indemnités de chômage. Il faisait l’objet d’une saisie mensuelle de l’Office des poursuites pour un montant de 1'500 francs. L’extrait du registre de l’office des poursuites indique que le montant total des poursuites à l’encontre de R.________ s’élève à 157'359 fr. 10 et qu’il fait l’objet de 50 actes de défaut de biens pour un total de 58'186 francs. Lors de son interrogatoire du mois de janvier 2023, il expliquait travailler à 20% dans un [...], pour un montant mensuel brut de 1'000 francs. Aux débats de première instance, R.________ a expliqué qu’il travaillait pour un salaire mensuel de 1'500 fr., mais a refusé d’indiquer l’activité qu’il exerçait. A l’audience d’appel, il a invoqué son droit au silence à ce propos. [...], il perçoit à ce titre un revenu annuel de 800 francs.</w:t>
      </w:r>
    </w:p>
    <w:p>
      <w:r>
        <w:t>- 10 - Sur le plan personnel, R.________ est le père de deux enfants, [...]. Il exerce une garde alternée sur ceux-ci. Il ne leur verse aucune contribution d’entretien. En 20[...], le prévenu s’est marié. L’union maritale est restée sans enfants. Le couple vit séparé.</w:t>
      </w:r>
    </w:p>
    <w:p>
      <w:r>
        <w:rPr>
          <w:b/>
        </w:rPr>
        <w:t>E. 1.2</w:t>
      </w:r>
    </w:p>
    <w:p>
      <w:r>
        <w:t>Le casier judiciaire mentionne une inscription : - 05.10.2015, Ministère public de l’arrondissement du Nord vaudois, Yverdon, peine pécuniaire de 15 jours-amende à 30 francs, avec sursis pendant 2 ans, amende de 300 francs, pour mise d’un véhicule automobile à la disposition d’un conducteur sans permis requis et contravention à l’ordonnance sur les règles de la circulation routière. Figure au dossier une ordonnance pénale rendue par la Préfecture du Jura-Nord vaudois le 18 août 2021 le condamnant pour contravention à la Loi sur les épidémies (LEp) à une amende de 100 francs pour avoir, le 30 avril 2021, consommé à l’intérieur d’un établissement public en violation des mesures sanitaires liées au COVID-19.</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2.1</w:t>
      </w:r>
    </w:p>
    <w:p>
      <w:r>
        <w:t>A [...], entre 2020 et le 15 décembre 2021, R.________, opposé aux mesures anti-COVID-19, s’est livré à un important trafic de faux certificats de vaccination COVID-19, permettant ainsi aux bénéficiaires de ces faux titres, non vaccinés, de se procurer illicitement les avantages liés à la détention d’un tel document. R.________ a tout d’abord réussi à obtenir un faux certificat de vaccination pour ses besoins personnels, via une connaissance qui lui a transmis le numéro de téléphone d’un prénommé B.________, domicilié en France. Après avoir versé à B.________ 400 euros via Western Union, R.________ a reçu sur son téléphone portable un code QR correspondant à un faux certificat de vaccination, qu’il a utilisé pour ses besoins personnels.</w:t>
      </w:r>
    </w:p>
    <w:p>
      <w:r>
        <w:t>- 11 - Par la suite, R.________ a proposé à diverses connaissances d’obtenir des faux certificats de vaccination contre paiement de 350 à 450 francs, alors qu’il les achetait pour un prix variant entre 200 et 400 euros. Il recevait en général ses commandes via les applications WhatsApp et Telegram. R.________ a ensuite transmis à B.________ une copie de la carte d’identité de ses clients, lui a en général payé le prix des faux certificats via Western Union, et a reçu en retour sur son téléphone portable des codes QR correspondant aux faux certificats de vaccination commandés, qu’il a transférés à ses clients. A quelques reprises R.________ s’est rendu personnellement à la frontière franco-suisse près de Genève pour remettre l’argent des commandes à B.________. Le 13 octobre 2020, R.________ a remis 1'400 euros à S.________ (déférée séparément), correspondant à l’achat de cinq faux certificats de vaccination, afin qu’elle les remette à son fournisseur français. A plusieurs reprises, R.________ a reçu des commandes pour diverses personnes via W.________ (déféré séparément). R.________ a ainsi obtenu de faux documents pour les personnes suivantes déférées séparément : [...], soit un total de 42 faux certificats de vaccination. Enfin, R.________ a tenté d’acquérir sept faux certificats de vaccination COVID pour des personnes issues de la communauté des gens du voyage, mais il ne les a pas reçus, quand bien même il avait payé le prix d’achat et encaissé le prix de vente auprès des clients, son fournisseur ne lui ayant pas répondu. Au vu de ce qui précède, le trafic illicite du prévenu porte sur au moins 49 faux certificats de vaccination COVID, représentant un investissement compris entre 9'800.- et 19'600 euros, revendus entre 17'150.- et 22'050 fr., réalisant un bénéfice compris entre environ 2'450.- et 12'250 fr., le taux de change étant proche de la parité.</w:t>
      </w:r>
    </w:p>
    <w:p>
      <w:r>
        <w:rPr>
          <w:b/>
        </w:rPr>
        <w:t>E. 2.2</w:t>
      </w:r>
    </w:p>
    <w:p>
      <w:r>
        <w:t>A [...], le 20 août 2022, vers 02h25, R.________ a circulé au volant d'un véhicule de tourisme, en étant sous l'influence de l'alcool,</w:t>
      </w:r>
    </w:p>
    <w:p>
      <w:r>
        <w:t>- 12 - l’éthylomètre révélant 0,44 mg/L d'alcool dans l'air expiré, correspondant à 0,88 g ‰ d'alcool dans le sang au moment des faits.</w:t>
      </w:r>
    </w:p>
    <w:p>
      <w:r>
        <w:rPr>
          <w:b/>
        </w:rPr>
        <w:t>E. 2.3</w:t>
      </w:r>
    </w:p>
    <w:p>
      <w:r>
        <w:t>A [...], entre le 1er et le 30 novembre 2022, R.________ a laissé deux chevaux, dont il était le détenteur, dans un terrain extrêmement boueux, ne présentant aucun endroit sec pour préserver les sabots des équidés, et qui n’était équipé que d’un abri de fortune en bois, insuffisant pour protéger les animaux des intempéries et menaçant de s’écrouler. Des pelles, des barres de fer, des échelles, des outils de jardinage et des fers à béton jonchaient le sol à plusieurs endroits de façon dangereuse pour les chevaux. La parcelle étant délimitée par des clôtures relâchées, mal fixées et mal entretenues par le prévenu, les chevaux ont pu s’enfuir du parc à trois reprises, les 12 novembre, 21 novembre et 27 novembre 2022, la police étant intervenue sur appel des voisins pour ramener les animaux dans leur parc. Par ailleurs, R.________ n’a pas laissé aux bêtes suffisamment de nourriture et d’eau. Cette dernière n’étant pas distribuée au moyen d’un système automatique, il est arrivé à plusieurs reprises que les animaux ne puissent pas boire assez durant la journée, les équidés donnant des coups de sabots dans la baignoire leur servant d’abreuvoir pendant plusieurs heures pour manifester leur soif, ce contenant étant parfois vide ou partiellement rempli d’eau souillée. Le fourrage n’étant pas disponible en libre accès, les chevaux ont également manqué à plusieurs reprises de nourriture dès lors qu’ils dépendaient des passages sporadiques de R.________. Malgré une seconde intervention de la police le 21 novembre 2022, attirant expressément l’attention du prévenu sur les conditions déplorables quant aux installations et à la détention des animaux, R.________ n’a pas pris les mesures appropriées pour pallier ses manquements. En d roit :</w:t>
      </w:r>
    </w:p>
    <w:p>
      <w:r>
        <w:t>- 13 - 1. Interjeté dans les formes et délais légaux (art. 385 et 399 CPP), par une partie ayant qualité pour recourir (art. 382 al. 1 CPP) contre le jugement d’un tribunal de première instance qui a clos la procédure (art. 398 al. 1 CPP), l’appel est recevable.</w:t>
      </w:r>
    </w:p>
    <w:p>
      <w:r>
        <w:rPr>
          <w:b/>
        </w:rPr>
        <w:t>E. 2.3.1</w:t>
      </w:r>
    </w:p>
    <w:p>
      <w:r>
        <w:t>; ATF 130 IV 58 consid. 9.2.1, JdT 2004 I 486, SJ 2005 I 47).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w:t>
      </w:r>
    </w:p>
    <w:p>
      <w:r>
        <w:t>- 18 -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w:t>
      </w:r>
    </w:p>
    <w:p>
      <w:r>
        <w:rPr>
          <w:b/>
        </w:rPr>
        <w:t>E. 3.1</w:t>
      </w:r>
    </w:p>
    <w:p>
      <w:r>
        <w:t>L’appelant invoque d’abord une constatation incomplète et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w:t>
      </w:r>
    </w:p>
    <w:p>
      <w:r>
        <w:t>- 14 - procédure pénale suisse, 2e éd., Bâle 2019, n. 19 ad art. 398 CPP et les références citées).</w:t>
      </w:r>
    </w:p>
    <w:p>
      <w:r>
        <w:rPr>
          <w:b/>
        </w:rPr>
        <w:t>E. 3.3</w:t>
      </w:r>
    </w:p>
    <w:p>
      <w:r>
        <w:t>L’appelant soutient en premier lieu que le jugement attaqué omet de retenir que son contact en France pour établir des faux certificats COVID n’aurait pas fait l’objet d’une procédure pénale en Suisse. Ce fait est toutefois sans pertinence pour le jugement de la cause et sera examiné dans le cadre du grief de l’appelant ayant trait à la violation de l’art. 8 al. 1 CP (Code pénal suisse du 21 décembre 1937 ; RS 311.0) (cf. consid. 4 ci-dessous). Dans un second moyen, l’appelant fait valoir que l’habitation des voisins l’ayant mis en cause ne jouxte pas la stabulation où séjournaient les deux chevaux objets des mauvais traitements constatés. Toutefois, cet élément n’a pas d’influence sur l’appréciation des preuves, dès lors que les deux parcelles sont effectivement contiguës. Pour le surplus, l’appelant plaide sa version des faits concernant sa condamnation pour mauvais traitements infligés aux animaux, mais son moyen se confond avec les griefs invoqués dans le cadre de l’application de l’art. 26 LPA (loi fédérale sur la protection des animaux ; RS 455), en particulier la violation de la présomption d’innocence, et sera traité dans ce cadre (cf. consid. 5 ci-dessous).</w:t>
      </w:r>
    </w:p>
    <w:p>
      <w:r>
        <w:rPr>
          <w:b/>
        </w:rPr>
        <w:t>E. 4.1</w:t>
      </w:r>
    </w:p>
    <w:p>
      <w:r>
        <w:t>L’appelant conteste ensuite sa condamnation pour faux dans les titres. Il considère que les autorités de poursuite pénale suisses ne sont pas compétentes pour le juger, ce qui consacrerait une violation de l’art. 8 al. 1 CP. Il fait valoir qu’il n’était que le participant secondaire d’un auteur principal qui se trouvait en France.</w:t>
      </w:r>
    </w:p>
    <w:p>
      <w:r>
        <w:rPr>
          <w:b/>
        </w:rPr>
        <w:t>E. 4.2</w:t>
      </w:r>
    </w:p>
    <w:p>
      <w:r>
        <w:t>- 15 -</w:t>
      </w:r>
    </w:p>
    <w:p>
      <w:r>
        <w:rPr>
          <w:b/>
        </w:rPr>
        <w:t>E. 4.2.1</w:t>
      </w:r>
    </w:p>
    <w:p>
      <w:r>
        <w:t>Aux termes de l’art. 3 al. 1 CP, le CP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JdT 1996 IV 188 ; ATF 108 IV 145 consid. 3). Il s'impose pour des motifs d'équité d'une part et d'économie de procédure d'autre part, car c'est au lieu de commission de l'infraction que l'administration des preuves est susceptible de fournir les résultats les plus probants (ATF 144 IV 265 consid. 2.3.1 ; TF 6B_21/2009 du 19 mai 2009 consid. 1.1 et les réf. citées).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 ATF 141 IV 336 consid. 1.1 ; ATF 119 IV 250 consid. 3c, JdT 1995 IV 176 ; TF 6B_251/2012 du 2 octobre 2012 consid. 1.3 ; TF 6B_74/2011 du 13 septembre 2011 consid. 2.3).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w:t>
      </w:r>
    </w:p>
    <w:p>
      <w:r>
        <w:t>- 16 - le lieu de commission d'une infraction (ATF 105 IV 326). En 2002, le Tribunal fédéral a toutefois précisé s’être distancé de cette approche strictement technique, et être revenu à une interprétation plus large de la notion de résultat (ATF 128 IV 145 consid. 2e). En réalité, il a très tôt tempéré sa jurisprudence en admettant que l’enrichissement recherché par l’auteur en matière d’escroquerie représentait un résultat (ATF 109 IV 1 consid. 3c, confirmé dans l'ATF 133 IV 171 consid. 6.3). Par la suite, il a considéré que l’appauvrissement causé par un abus de confiance en constituait le résultat au sens de l’art. 8 CP (ATF 124 IV 241 consid. 4d), quoi qu’il s’agisse d’un délit formel. Aussi, la catégorie à laquelle ressortit l’infraction ne représente plus un critère intrinsèquement décisif pour interpréter la notion de résultat au sens de l’art. 8 CP. Au vu de l’évolution de la jurisprudence, il y a lieu de relativiser la portée de la classification typologique des infractions et de reconnaître également un rattachement fondé sur le lieu de survenance du résultat en matière de délits formels et de délits de mise en danger abstraite. Ainsi, le Tribunal fédéral a considéré qu’en cas de falsification d’un timbre officiel de valeur, en l’espèce une vignette autoroutière, l’auteur est réputé avoir agi en Suisse lorsqu’il a falsifié la vignette à l’étranger, mais qu’il avait le dessein de l’utiliser sur une route suisse soumise à redevance (ATF 141 IV 336 consid. 1.2). Dans sa jurisprudence constante, le Tribunal fédéral a considéré que les actes de participation devaient être réputés avoir été commis au même endroit que l'infraction principale, le principe de la territorialité (art. 3 CP) ne trouvant aucune application propre au participant. Cette approche a été justifiée par le fait que, si l'art. 8 CP prend en considération le lieu où l'auteur a agi et où le résultat s'est produit, cette disposition ne fixe en revanche ni le lieu de la participation, ni celui où l'auteur principal a pris la décision d'agir ou s'y est préparé. Or, en raison de son caractère accessoire, la participation n'acquiert aucune signification propre, dans la mesure où elle ne fait que favoriser l'accomplissement des faits constituant l'infraction principale et le succès de celle-ci. La prise en considération du caractère accessoire des actes de participation concorde en outre avec la solution consacrée par le législateur en matière de for interne, qui, en cas de participation, se</w:t>
      </w:r>
    </w:p>
    <w:p>
      <w:r>
        <w:t>- 17 - trouve au lieu d'exécution de l'acte principal (art. 33 CPP). Il serait par ailleurs inadéquat, en raison de l'étroite relation entre l'acte principal et la participation, de soustraire à la juridiction pénale suisse, conformément à l'art. 3 CP, l'auteur qui a agi à l'étranger, mais qui prend sa décision et prépare l'infraction en Suisse, alors que l'on poursuivrait et punirait en revanche l'instigateur ou le complice qui aurait agi en Suisse, cela sans tenir compte de la question de savoir si l'infraction principale est ou non punissable à l'étranger (ATF 144 IV 265 consid. 2.4 ; ATF 104 IV 77 consid. 7b).</w:t>
      </w:r>
    </w:p>
    <w:p>
      <w:r>
        <w:rPr>
          <w:b/>
        </w:rPr>
        <w:t>E. 4.2.2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w:t>
      </w:r>
    </w:p>
    <w:p>
      <w:r>
        <w:rPr>
          <w:b/>
        </w:rPr>
        <w:t>E. 4.3</w:t>
      </w:r>
    </w:p>
    <w:p>
      <w:r>
        <w:t>En l’espèce, c’est en vain que l’appelant prétend avoir été le participant secondaire d’un auteur principal qui se trouverait en France. Il est en effet lui-même l’auteur principal de l’infraction de faux dans les titres, puisqu’il a pris les commandes des faux certificats, transmis les pièces d’identité de ses clients, payé les commandes au faussaire, réceptionné les faux, transmis ceux-ci aux bénéficiaires et encaissé leur contrevaleur. Ces éléments indiquent qu’il est le véritable organisateur du trafic de faux certificats COVID et il a agi exclusivement en Suisse. Il n’est dès lors pas nécessaire de recourir à la notion de résultat de l’infraction puisque R.________ a réalisé en Suisse les éléments constitutifs de l’art. 251 CP non seulement pour l’usage des faux mais également pour leur création.</w:t>
      </w:r>
    </w:p>
    <w:p>
      <w:r>
        <w:rPr>
          <w:b/>
        </w:rPr>
        <w:t>E. 5.1</w:t>
      </w:r>
    </w:p>
    <w:p>
      <w:r>
        <w:t>L’appelant invoque une violation de l’art. 26 LPA. Il conteste avoir été négligent dans les soins donnés à ses chevaux. Il se prévaut des déclarations du témoin M.________ et des photographies qu’il a produites. Il explique qu’il a dû accueillir les chevaux dans l’urgence et qu’il a tout entrepris pour mettre en conformité leur lieu de stabulation. Il estime ainsi avoir été condamné en violation du principe de la présomption d’innocence et considère avoir tout au plus commis une contravention à l’art. 28 LPA.</w:t>
      </w:r>
    </w:p>
    <w:p>
      <w:r>
        <w:rPr>
          <w:b/>
        </w:rPr>
        <w:t>E. 5.2</w:t>
      </w:r>
    </w:p>
    <w:p>
      <w:r>
        <w:t>- 19 -</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w:t>
      </w:r>
    </w:p>
    <w:p>
      <w:r>
        <w:t>- 20 -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5.2.2</w:t>
      </w:r>
    </w:p>
    <w:p>
      <w:r>
        <w:t>Aux termes de l’art. 26 LPA, est puni d’une peine privative de liberté de trois ans au plus ou d’une peine pécuniaire quiconque, intentionnellement : maltraite un animal, le néglige ou le surmène inutilement ou porte atteinte à sa dignité d’une autre manière (al. 1 let. a). Si l’auteur agit par négligence, il est puni d’une peine pécuniaire de 180 jours-amende au plus (al. 2). Conformément à l’art. 16 OPAn (Ordonnance sur la protection des animaux du 23 avril 2008 ; RS 455.1), il est interdit de maltraiter les animaux, de les négliger ou de les surmener inutilement. L’alinéa 2 de cette disposition, comporte une liste non-exhaustive (« il est notamment interdit ») de comportements prohibés. Il ne s’agit pas d’un délit de mise en danger abstraite, mais de résultat, de sorte que l’infraction n’est réalisée que si le bien-être de l’animal a effectivement été compromis et qu’il en est résulté des souffrances, des douleurs ou de la peur pour la bête (Favre/Pellet/Stoudmann, Droit pénal accessoire, Code annoté, Lausanne 2018, n. 1.3 ad art. 26 LPA). La notion de négligence au sens de l'art. 26 al. 1 let. a LPA découle indirectement de l'art. 6 al. 1 LPA. Cette norme oblige celui qui détient un animal ou s'en occupe à le nourrir convenablement, à le soigner, à lui donner la liberté de mouvement nécessaire à son bien-être et à lui fournir un habitat si nécessaire (TF 6B_635/2012 du 13 mars 2013 consid. 3.2.1 et les arrêts cités in Favre/Pellet/Stoudmann, op. cit. n. 1.14 ad art. 26 LPA). Une négligence grave telle qu’exigée par l'art. 264 aCP, soit des souffrances considérables ou une atteinte importante à la santé causées à l’animal, n’est plus nécessaire depuis l'entrée en vigueur de</w:t>
      </w:r>
    </w:p>
    <w:p>
      <w:r>
        <w:t>- 21 - l'art. 26 al. 1 let. a de la loi révisée sur la protection des animaux. Il faut néanmoins que l’auteur ait porté atteinte à la dignité de l’animal au sens de l’art. 3 let. a LPA.</w:t>
      </w:r>
    </w:p>
    <w:p>
      <w:r>
        <w:rPr>
          <w:b/>
        </w:rPr>
        <w:t>E. 5.3</w:t>
      </w:r>
    </w:p>
    <w:p>
      <w:r>
        <w:t>Il ne fait aucun doute, à la teneur du rapport d’investigation de la gendarmerie et des photographies illustrant ce rapport (P. 19), ainsi que des constats effectués par les voisins, qui sont probants quoi qu’en dise l’appelant, que les chevaux de ce dernier ont été détenus dans des conditions portant atteinte à leur dignité. Ils ont été exposés à une insuffisance régulière d’eau et de nourriture, exposés à des risques concrets de blessures en raison d’un sol boueux et des barres de fer. Ils n’avaient pas d’abri en cas d’intempéries. Ils étaient tellement stressés et anxieux qu’ils ont fui leur parc à trois reprises, les 12, 21 et 27 novembre 2022. L’un d’eux donnait régulièrement des coups de sabots durant des heures dans l’abreuvoir pour manifester sa soif. En définitive, il faut admettre avec les premiers juges que ces chevaux ont été gravement négligés. L’appelant ne saurait relativiser sa responsabilité en faisant valoir qu’il cherchait à améliorer des conditions de détention qui étaient temporairement insuffisantes en raison de l’urgence dans laquelle il a dû entrer en possession des chevaux et aménager leur parc. En effet, il lui appartenait d’assurer d’emblée des conditions de détention correctes à ses animaux. La LPA ne prévoit ainsi aucun délai d’adaptation pour détenir des animaux dans des conditions conformes à la loi. En outre, l’appelant a été mis en garde par la police au sujet de l’insuffisance des conditions de détention et averti qu’il devait rectifier immédiatement la situation. Or, une semaine après cette mise en garde, il n’y avait toujours pas remédié (P. 19, p. 5). Quant au témoignage d’M.________, il ne lui est d’aucun secours. Malgré ses liens d’amitié avec le prévenu, elle a déclaré que les conditions au lieu de stabulation des chevaux étaient « plus ou moins correctes », que la qualité du sol était « problématique », qu’elle ne savait pas si le fait de donner des coups de sabot dans l’abreuvoir était un signe de souffrance de l’animal « n’étant pas vétérinaire » et qu’elle n’aurait pas placé son cheval à cet endroit. Il n’y a donc rien dans ce témoignage qui</w:t>
      </w:r>
    </w:p>
    <w:p>
      <w:r>
        <w:t>- 22 - infirme avec une valeur probante suffisante les constats effectués par la gendarmerie et par les voisins, tels que rappelés ci-dessus. Les premiers juges ont condamné l’appelant à une peine pécuniaire de 30 jours pour cette infraction (p. 37 du jugement) retenant toutefois l’infraction dans sa forme intentionnelle (p. 35 du jugement). La quotité de la peine est toutefois faible, puisqu’elle entre dans le cadre de la peine prévue pour la négligence (180 jours-amende au plus, cf. art. 26 al. 2 LPA). Les premiers juges ont ainsi largement tenu compte des conditions particulières dans lesquelles l’appelant est entré en possession des chevaux et son inexpérience dans la détention d’animaux. Quoi qu’il en soit, il faut admettre que l’appelant était conscient des conditions insuffisantes dans lesquelles ses animaux étaient détenus et de leurs souffrances et que, même rendu attentif à ce sujet par les autorités, il n’a pas remédié à la situation, agissant ainsi à tout le moins par dol éventuel. La condamnation pour mauvais traitement infligés aux animaux au sens de l’art. 26 al. 1 let. a LPA doit ainsi être confirmée. Il n’y a donc pas place pour retenir une simple contravention à l’art. 28 let. a LPA, cette disposition réservant expressément l’art. 26 LPA.</w:t>
      </w:r>
    </w:p>
    <w:p>
      <w:r>
        <w:rPr>
          <w:b/>
        </w:rPr>
        <w:t>E. 6.1</w:t>
      </w:r>
    </w:p>
    <w:p>
      <w:r>
        <w:t>L’appelant conteste ensuite sa condamnation pour contravention à la loi vaudoise sur les contraventions. Il fait valoir qu’il a fait paître ses chevaux dans un enclos et que, s’ils se sont enfuis, c’est en raison d’une négligence non punissable de sa part. Il allègue également l’absence de concours possible avec l’art. 26 LPA en raison du principe ne bis in idem.</w:t>
      </w:r>
    </w:p>
    <w:p>
      <w:r>
        <w:rPr>
          <w:b/>
        </w:rPr>
        <w:t>E. 6.2</w:t>
      </w:r>
    </w:p>
    <w:p>
      <w:r>
        <w:t>Aux termes de l’art. 91 let. g du règlement général de police de la commune de [...] (RGP), les détenteurs d’animaux sont tenus de prendre toues mesures utiles pour empêcher ceux-ci de divaguer. Conformément à l'art. 8 RGP, la municipalité constitue l’autorité municipale en matière de poursuite de répression des</w:t>
      </w:r>
    </w:p>
    <w:p>
      <w:r>
        <w:t>- 23 - contraventions de compétence municipale. Selon l'art. 8 LContr (Loi vaudoise sur les contraventions du 19 mai 2009 ; BLV 312.11),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 Selon l’art. 25 LContr, les contraventions réprimées par l’autorité municipale sont passibles d’une amende de 500 fr. au plus.</w:t>
      </w:r>
    </w:p>
    <w:p>
      <w:r>
        <w:rPr>
          <w:b/>
        </w:rPr>
        <w:t>E. 6.3</w:t>
      </w:r>
    </w:p>
    <w:p>
      <w:r>
        <w:t>C’est en vain que l’appelant fait valoir une négligence non punissable de sa part. Le rapport de la Gendarmerie (P.19) indique que les chevaux se sont enfuis à trois reprises en dates des 12, 21 et 27 novembre 2022, les clôtures étant relâchées et mal fixées et permettant aisément aux animaux de passer par-dessus. Celui-ci n’ayant rien fait pour remédier à la situation après la première divagation, il s’agit bel et bien de dol éventuel et non de négligence. En outre, le RGP réprime la divagation qui n’est aucunement appréhendée par l’art. 26 LPA. Il s’agit d’une contravention communale visant à garantir la sécurité sur le domaine public. Le bien juridique n’est donc pas le même que pour la LPA qui vise à protéger le bien-être et la dignité de l’animal. Il n’y a du reste pas de concours entre les législations fédérale et communale, mais cumul d’infractions. C’est donc à juste titre que les premiers juges ont condamné l’appelant pour avoir contrevenu à l’art. 25 al. 1 LContr.</w:t>
      </w:r>
    </w:p>
    <w:p>
      <w:r>
        <w:rPr>
          <w:b/>
        </w:rPr>
        <w:t>E. 7.1</w:t>
      </w:r>
    </w:p>
    <w:p>
      <w:r>
        <w:t>L’appelant conteste la peine privative de liberté de 15 mois infligée pour l’infraction de faux dans les titres. Il se prévaut d’une condamnation prononcée dans une autre affaire de faux certificats COVID où l’accusé s’est vu infliger une peine de 90 jours-amende.</w:t>
      </w:r>
    </w:p>
    <w:p>
      <w:r>
        <w:rPr>
          <w:b/>
        </w:rPr>
        <w:t>E. 7.2</w:t>
      </w:r>
    </w:p>
    <w:p>
      <w:r>
        <w:t>Aux termes de l’art. 47 CP, le juge fixe la peine d’après la culpabilité de l’auteur. Il prend en considération les antécédents et la</w:t>
      </w:r>
    </w:p>
    <w:p>
      <w:r>
        <w:t>- 24 -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Compte tenu des nombreux paramètres entrant en considération lors de la fixation de la peine – prérogative appartenant au demeurant au juge du fond – et du principe d'individualisation en la matière (cf. art. 47 CP), aucune conclusion absolue quant à la quotité de la peine qui pourrait être prononcée ne peut être tirée de la comparaison avec d'autres affaires (ATF 141 IV 61 consid. 6.3.2 ; TF 1B_185/2020 du 29 avril 2020 consid. 4.1 et 4.2).</w:t>
      </w:r>
    </w:p>
    <w:p>
      <w:r>
        <w:rPr>
          <w:b/>
        </w:rPr>
        <w:t>E. 7.3</w:t>
      </w:r>
    </w:p>
    <w:p>
      <w:r>
        <w:t>La comparaison avec une autre affaire qui n’a pas fait l’objet d’un appel est vaine, dès lors que la Cour de céans n’a pas pu examiner la sanction prononcée. Dans un cas de faux certificat COVID (CAPE du 12 mars 2024/201), la Cour de céans a confirmé la condamnation d’un prévenu pour faux dans les titres à une peine pécuniaire de 60 jours- amende, tout en étant précisé qu’elle était saisie d’un appel du prévenu</w:t>
      </w:r>
    </w:p>
    <w:p>
      <w:r>
        <w:t>- 25 - exclusivement et que, n’ayant aucun pouvoir de cognition pour augmenter la peine, cette dernière n’avait pas été discutée. Il s’agissait de la condamnation d’un prévenu ayant bénéficié d’un seul faux document pour ses besoins personnels. La situation de l’appelant n’est en rien comparable, dès lors qu’il a mis sur pied un trafic portant sur au moins 49 faux certificats de vaccination et a agi dans un dessein d’enrichissement illégitime, réalisant un bénéfice compris entre 2'450 fr. et 12'250 francs. Comme en matière de stupéfiants, il s’agit d’un trafic impliquant une notion de mise en danger de la santé d’autrui, puisque les bénéficiaires de faux certificats n’ont pas été vaccinés et bénéficiaient pourtant des mêmes prérogatives de déplacements et de contacts que ceux l’ayant été. En définitive, la peine privative de liberté est adéquate compte tenu de l’ensemble de ces éléments, qui démontrent une culpabilité d’une certaine gravité et qui dépasse largement une peine dont le quantum serait de 180 jours. Une peine pécuniaire n’est donc pas possible, cela d’autant que l’appelant a déjà été condamné pour une infraction aux mesures sanitaires liées au COVID-19. La peine privative de liberté de 15 mois avec sursis pendant deux ans doit ainsi être confirmée. La sanction sous forme de jours- amende pour conduite en état d’ébriété qualifiée et mauvais traitements infligés aux animaux n’est pas contestée en tant que telle et il peut être renvoyé au jugement de première instance par adoption des motifs (art. 82 al. 4 CPP).</w:t>
      </w:r>
    </w:p>
    <w:p>
      <w:r>
        <w:rPr>
          <w:b/>
        </w:rPr>
        <w:t>E. 8.1</w:t>
      </w:r>
    </w:p>
    <w:p>
      <w:r>
        <w:t>Dans un dernier moyen, qui aurait dû en réalité être présenté avec les griefs liés à la condamnation pour faux dans les titres (cf. consid. 4 ci-dessus), l’appelant conteste avoir réalisé le dessein spécial prévu à l’art. 251 CP. Il fait valoir que les faux certificats COVID ne procuraient pas un avantage illicite ayant une valeur patrimoniale.</w:t>
      </w:r>
    </w:p>
    <w:p>
      <w:r>
        <w:t>- 26 -</w:t>
      </w:r>
    </w:p>
    <w:p>
      <w:r>
        <w:rPr>
          <w:b/>
        </w:rPr>
        <w:t>E. 8.2</w:t>
      </w:r>
    </w:p>
    <w:p>
      <w:r>
        <w:t>Selon l’art.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Sur le plan subjectif, le faux dans les titres est une infraction intentionnelle.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 La notion d'avantage illicite est très large. Elle vise toute type d'avantage, d'ordre matériel ou immatériel, qui peut être destiné à l'auteur lui-même ou à un tiers (ATF 129 IV 53 consid. 3.5 ; TF 6B_891/2018 du 31 octobre 2018 consid. 3.5.1). Le caractère illicite de l'avantage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TF 6B_891/2018 précité consid. 3.5.1).</w:t>
      </w:r>
    </w:p>
    <w:p>
      <w:r>
        <w:rPr>
          <w:b/>
        </w:rPr>
        <w:t>E. 8.3</w:t>
      </w:r>
    </w:p>
    <w:p>
      <w:r>
        <w:t>Le fait d’obtenir un certificat de vaccination sans s’être fait vacciner constitue indéniablement un avantage illicite. Preuve en est que les bénéficiaires ont payé pour obtenir ces faux certificats et l’avantage qu’ils pouvaient en retirer. Il est ainsi incontestable que ces faux certificats avaient une valeur patrimoniale.</w:t>
      </w:r>
    </w:p>
    <w:p>
      <w:r>
        <w:t>- 27 -</w:t>
      </w:r>
    </w:p>
    <w:p>
      <w:r>
        <w:rPr>
          <w:b/>
        </w:rPr>
        <w:t>E. 9</w:t>
      </w:r>
    </w:p>
    <w:p>
      <w:r>
        <w:t>En définitive, l’appel de R.________ doit être rejeté aux frais de son auteur. Les frais de la procédure d’appel, constitués de l’émolument d’audience et de jugement, par 2’900 fr. (art. 21 al. 1 et 2 TFIP [tarif des frais de procédure et indemnités en matière pénale du 28 septembre 2010 ; BLV 312.03.1]), seront donc mis à la charge de R.________ qui succombe (art. 428 al. 1 CPP). Outre l’émolument, les frais d’appel comprennent également l’indemnité allouée au défenseur d’office de l’appelant (art. 422 al. 2 let. a CPP). La liste des opérations produite par Me David Vaucher, défenseur d’office de R.________, fait état de 22 heures et 54 minutes de travail d’avocat. Certaines opérations apparaissent excessives. Il convient ainsi de supprimer les deux heures de recherches juridiques, celles-ci ayant déjà été faites pour l’audience de première instance, de réduire de 5 à 2 heures la reprise du dossier avant l’audience d’appel et d’ajuster le temps de l’audience à sa durée effective. Il y a ainsi lieu d’indemniser 17 heures et 24 minutes au tarif horaire de 180 fr., soit 3’132 fr., auxquels il convient d’ajouter des débours forfaitaires à concurrence de 2 %, soit 65 fr. 65 (art. 3bis al. 1 RAJ [règlement du 7 décembre 2010 sur l'assistance judiciaire en matière civile ; BLV 211.02.3], applicable par renvoi de l’art. 26b TFIP), une vacation forfaitaire de 120 fr., ainsi que la TVA à 8,1 %, par 268 fr. 50, soit un total de 3'583 fr. 15, TVA et débours inclus.</w:t>
      </w:r>
    </w:p>
    <w:p>
      <w:r>
        <w:t>- 28 - La Cour d’appel pénale, appliquant les articles 34, 40, 42 al. 1, 44 al. 1, 47, 49 al. 1, 50, 103, 106 CP ; 251 ch. 1 aCP ; 91 al. 2 let. a LCR ; 26 al. 1 let. a LPA ; 25 al. 1 LContr et 398 ss CPP, prononce : I. L’appel est rejeté. II. Le jugement rendu le 1er mai 2024 par le Tribunal correctionnel de la Broye et du Nord vaudois est confirmé selon le dispositif suivant : "I. constate que R.________ s’est rendu coupable de faux dans les titres, de conduite en état d’ébriété qualifiée, de mauvais traitements infligés aux animaux et de contravention au règlement général de police de la commune de [...] ; II. condamne R.________ à une peine privative de liberté de 15 (quinze) mois ; III. suspend l’exécution de la peine privative de liberté fixée sous chiffre II ci-dessus et impartit à R.________ un délai d’épreuve de 2 (deux) ans ; IV. condamne en outre R.________ à une peine pécuniaire de 90 (nonante) jours-amende, le montant du jour-amende étant arrêté à 30 fr. (trente francs) ; V. suspend l’exécution de la peine pécuniaire fixée sous chiffre IV ci-dessus et impartit à R.________ un délai d’épreuve de 2 (deux) ans ; VI. condamne en outre R.________ à une amende de 300 fr. (trois cents francs) convertible en 3 (trois) jours de peine privative de liberté de substitution en cas de non- paiement fautif ;</w:t>
      </w:r>
    </w:p>
    <w:p>
      <w:r>
        <w:t>- 29 - VII. prononce à l’encontre de R.________, en faveur de l’Etat de Vaud, une créance compensatrice d’un montant de 3'000 fr. (trois mille francs) ; VIII. ordonne le maintien au dossier, à titre de pièces à conviction, d’un CD contenant une vidéo postée sur Youtube (cf. fiche n° 51883/23 = Pièce n° 18) et d’un DVD contenant l’extraction du téléphone portable de R.________ (cf. fiche n° 51900/23 = Pièce n° 20) ; IX. alloue à l’avocat David Vaucher, défenseur d’office de R.________, une indemnité de 8'130 fr. 40 (huit mille cent trente francs et quarante centimes), TVA et débours compris ; X. met les frais de la cause, par 12'026 fr. (douze mille vingt-six francs), y compris l’indemnité de son défenseur d’office, à la charge de R.________." III. Une indemnité de défenseur d'office pour la procédure d'appel d'un montant de 3’583 fr. 15, TVA et débours inclus, est allouée à Me David Vaucher. IV. Les frais d'appel, par 6’483 fr. 15 (six mille quatre cent huitante-trois francs et 15 centimes), y compris l'indemnité allouée au défenseur d'office, sont mis à la charge de R.________. V. Le présent jugement est exécutoire. Le président : La greffière :</w:t>
      </w:r>
    </w:p>
    <w:p>
      <w:r>
        <w:t>- 30 - Du Le jugement qui précède, dont le dispositif a été communiqué par écrit aux intéressés le 29 octobre 2024, est notifié, par l'envoi d'une copie complète, à : - Me David Vaucher, avocat (pour R.________), - Ministère public central, et communiqué à : - M. le Président du Tribunal de de l'arrondissement de la Broye et du Nord vaudois, - M. le Procureur de l'arrondissement du Nord vaudois,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