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PE22.006248 vom 14. Juli 2022</w:t>
      </w:r>
    </w:p>
    <w:p>
      <w:r>
        <w:t>VD Tribunal cantonal, 2022-07-14, FR</w:t>
      </w:r>
    </w:p>
    <w:p>
      <w:r>
        <w:rPr>
          <w:b/>
        </w:rPr>
        <w:t xml:space="preserve">Quelle: </w:t>
      </w:r>
      <w:r>
        <w:t>https://mcp.opencaselaw.ch/entscheid/vd_gerichte_PE22.006248</w:t>
      </w:r>
    </w:p>
    <w:p>
      <w:r>
        <w:t>FR: VD_GERICHTE PE22.006248 du 14 juillet 2022</w:t>
      </w:r>
    </w:p>
    <w:p>
      <w:r>
        <w:t>IT: VD_GERICHTE PE22.006248 del 14 luglio 2022</w:t>
      </w:r>
    </w:p>
    <w:p>
      <w:pPr>
        <w:pStyle w:val="Heading2"/>
      </w:pPr>
      <w:r>
        <w:t>Erwägungen</w:t>
      </w:r>
    </w:p>
    <w:p>
      <w:r>
        <w:rPr>
          <w:b/>
        </w:rPr>
        <w:t>E. 1</w:t>
      </w:r>
    </w:p>
    <w:p>
      <w:r>
        <w:t>CPP) et satisfaisant aux exigences de forme prescrites (art. 385 al. 1 CPP), le recours est recevable. Les pièces nouvelles produites sont également recevables (cf. art. 389 al. 3 CPP).</w:t>
      </w:r>
    </w:p>
    <w:p>
      <w:r>
        <w:rPr>
          <w:b/>
        </w:rPr>
        <w:t>E. 1.1</w:t>
      </w:r>
    </w:p>
    <w:p>
      <w:r>
        <w:t>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 CREP 8 décembre 2021/1122 et les références citées).</w:t>
      </w:r>
    </w:p>
    <w:p>
      <w:r>
        <w:t>- 4 -</w:t>
      </w:r>
    </w:p>
    <w:p>
      <w:r>
        <w:rPr>
          <w:b/>
        </w:rPr>
        <w:t>E. 1.2</w:t>
      </w:r>
    </w:p>
    <w:p>
      <w:r>
        <w:t>En l’espèce, interjeté en temps utile devant l’autorité compétente par la partie plaignante qui a qualité pour recourir (art. 382 al.</w:t>
      </w:r>
    </w:p>
    <w:p>
      <w:r>
        <w:rPr>
          <w:b/>
        </w:rPr>
        <w:t>E. 2.1</w:t>
      </w:r>
    </w:p>
    <w:p>
      <w:r>
        <w:t>Dans un premier moyen d’ordre formel, le recourant invoque une violation de son droit d’être entendu. Il fait valoir que la motivation de l’ordonnance attaquée serait insuffisante pour comprendre en quoi le résultat de la première procédure serait nécessaire à la résolution de la seconde.</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w:t>
      </w:r>
    </w:p>
    <w:p>
      <w:r>
        <w:t>- 5 -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10 février 2022/110 ; CREP 29 avril 2021/174 ; CREP 30 mars 2021/303).</w:t>
      </w:r>
    </w:p>
    <w:p>
      <w:r>
        <w:rPr>
          <w:b/>
        </w:rPr>
        <w:t>E. 2.3</w:t>
      </w:r>
    </w:p>
    <w:p>
      <w:r>
        <w:t>En l’espèce, si la motivation de l’ordonnance entreprise est certes succincte, elle était néanmoins compréhensible pour le recourant. En effet, compte tenu du contexte, celui-ci pouvait aisément saisir le sens du raisonnement du Ministère public, la problématique d’une éventuelle dénonciation calomnieuse et/ou d’une éventuelle atteinte à l’honneur dépendant directement du sort de la plainte principale. Le recourant a au demeurant été en mesure d’attaquer l’ordonnance litigieuse en connaissance de cause. Il a d’ailleurs précisément argumenté sur ce point en exposant que les deux affaires étaient étroitement liées et qu’il convenait d’éviter des issues contradictoires. Au demeurant, vu le pouvoir d’examen complet en fait et en droit de la Chambre de céans, un éventuel vice à cet égard serait réparé par la motivation du présent arrêt (ATF 145 I</w:t>
      </w:r>
    </w:p>
    <w:p>
      <w:r>
        <w:t>- 6 - 167 précité ; TF 6B_860/2019 précité ; TF 1B_500/2018 du 11 février 2019 consid. 3.1). Partant, ce moyen doit être rejeté.</w:t>
      </w:r>
    </w:p>
    <w:p>
      <w:r>
        <w:rPr>
          <w:b/>
        </w:rPr>
        <w:t>E. 3.1</w:t>
      </w:r>
    </w:p>
    <w:p>
      <w:r>
        <w:t>Invoquant une violation de l’art. 314 al. 1 let. b CPP, le recourant soutient que les faits des deux affaires seraient connexes et fait valoir qu’il n’aurait plus la possibilité d’attaquer son éventuelle condamnation dans l’hypothèse où la seconde procédure révélerait le manque de crédibilité de son épouse et de sa belle-mère.</w:t>
      </w:r>
    </w:p>
    <w:p>
      <w:r>
        <w:rPr>
          <w:b/>
        </w:rPr>
        <w:t>E. 3.2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références citées ; TF 1B_563/2019 et 1B_565/2019 du 9 juin 2020 consid. 4.1.2 ; TF 1B_421/2012 du 19 juin 2013 consid. 2.1 ; cf. Landshut/Bosshard, in : Zürcher Kommentar StPO, 3e éd. 2020, nn. 12-13a ad art. 314 StPO ; Grodecki/Cornu, in : Jeanneret et al. [éd.], Commentaire romand, Code de procédure pénale suisse, 2e éd., Bâle 2019 [ci-après : CR CPP], nn. 13-13a et 14b ad art. 314 CPP). La suspension d’une procédure pénale dans l’attente d’une autre procédure pénale peut notamment se justifier à la suite d’une contre-plainte du prévenu pour des infractions contre l’honneur (art. 173 ss CP [Code pénal suisse du 21 décembre 1937 ; RS 311.0]) ou en dénonciation calomnieuse (art. 303 CP). Il n’est en effet pas imaginable d’instruire ces infractions alors même que la dénonciation initiale est toujours en cours d’enquête, voire de jugement (Grodecki/Cornu, in : CR CPP, op. cit., n. 14a ad art. 314 CPP).</w:t>
      </w:r>
    </w:p>
    <w:p>
      <w:r>
        <w:t>- 7 -</w:t>
      </w:r>
    </w:p>
    <w:p>
      <w:r>
        <w:rPr>
          <w:b/>
        </w:rPr>
        <w:t>E. 3.3</w:t>
      </w:r>
    </w:p>
    <w:p>
      <w:r>
        <w:t>En l’espèce, force est de constater que l’issue de la seconde procédure, ouverte contre G.________ et E.O.________ à la suite d’une contre-plainte du recourant pour dénonciation calomnieuse, subsidiairement pour des infractions contre l’honneur, est intrinsèquement liée au résultat de la procédure principale ouverte à l’encontre du recourant. En effet, si un éventuel classement de la procédure principale ne serait pas nécessairement suivi d’une condamnation de la belle-mère et de l’épouse du recourant, une éventuelle condamnation du recourant dans le cadre de la procédure principale donnerait lieu à un classement de la procédure ouverte subséquemment contre G.________ et E.O.________ pour dénonciation calomnieuse, la plainte de celui-ci apparaissant alors d’emblée mal fondée à cet égard. Le résultat de la première procédure aurait donc dans cette hypothèse une incidence manifeste sur le résultat de la seconde et simplifierait de manière significative l'administration des preuves dans cette même procédure. Une suspension de la seconde procédure permet par ailleurs d’éviter des jugements contradictoires. C’est donc à juste titre que le Ministère public a considéré que la procédure référencée sous PE22.006248-AYP devait être suspendue jusqu’à droit connu dans la procédure PE22.002345-AYP, conformément à l’art. 314 al. 1 let. b CPP. La production du dossier du Tribunal civil de l’arrondissement de Lausanne et du dossier de l’affaire pénale PE22.002345-AYP n’étant pas susceptible de modifier cette appréciation, il n’y a pas lieu de donner suite à cette requête. Ce moyen doit donc être rejeté.</w:t>
      </w:r>
    </w:p>
    <w:p>
      <w:r>
        <w:rPr>
          <w:b/>
        </w:rPr>
        <w:t>E. 4</w:t>
      </w:r>
    </w:p>
    <w:p>
      <w:r>
        <w:t>En définitive, le recours, manifestement mal fondé, doit être rejeté sans échange d’écritures (art. 390 al. 2 CPP) et l’ordonnance entreprise confirmée. Vu le sort du recours, les frais de la procédure, constitués du seul émolument d’arrêt, par 770 fr. (art. 20 al. 1 TFIP [Tarif des frais de</w:t>
      </w:r>
    </w:p>
    <w:p>
      <w:r>
        <w:t>- 8 - procédure et indemnités en matière pénale du 28 septembre 2010 ; BLV 312.03.1]), seront mis à la charge du recourant, qui succombe (art. 428 al. 1 CPP). Par ces motifs, la Chambre des recours pénale prononce : I. Le recours est rejeté. II. L’ordonnance du 3 juin 2022 est confirmée. III. Les frais d’arrêt, par 770 fr. (sept cent septante francs), sont mis à la charge d’A.O.________. IV. L’arrêt est exécutoire. La présidente : La greffière : Du Le présent arrêt, dont la rédaction a été approuvée à huis clos, est notifié, par l'envoi d'une copie complète, à : - Me Zoubair Toumia, avocat (pour A.O.________), - Me Yann Oppliger, avocat (pour E.O.________), - Mme G.________, - Ministère public central, et communiqué à : - Mme la Procureure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