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PE22.006029 vom 18. Juli 2022</w:t>
      </w:r>
    </w:p>
    <w:p>
      <w:r>
        <w:t>VD Tribunal cantonal, 2022-07-18, FR</w:t>
      </w:r>
    </w:p>
    <w:p>
      <w:r>
        <w:rPr>
          <w:b/>
        </w:rPr>
        <w:t xml:space="preserve">Quelle: </w:t>
      </w:r>
      <w:r>
        <w:t>https://mcp.opencaselaw.ch/entscheid/vd_gerichte_PE22.006029</w:t>
      </w:r>
    </w:p>
    <w:p>
      <w:r>
        <w:t>FR: VD_GERICHTE PE22.006029 du 18 juillet 2022</w:t>
      </w:r>
    </w:p>
    <w:p>
      <w:r>
        <w:t>IT: VD_GERICHTE PE22.006029 del 18 luglio 2022</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devant l’autorité compétente par la partie plaignante qui a qualité pour recourir (art. 382 al. 1 CPP), le recours est recevable sous réserve de ce qui sera exposé ci-après (cf. infra consid. 2.3).</w:t>
      </w:r>
    </w:p>
    <w:p>
      <w:r>
        <w:t>- 4 -</w:t>
      </w:r>
    </w:p>
    <w:p>
      <w:r>
        <w:rPr>
          <w:b/>
        </w:rPr>
        <w:t>E. 2.1</w:t>
      </w:r>
    </w:p>
    <w:p>
      <w:r>
        <w:t>La recourante, tout en confirmant les conclusions prises dans ses deux plaintes du 27 mars et du 16 avril 2022, conteste l’ordonnance de non-entrée en matière au motif qu’elle reposerait « sur un manque de considérations des faits explicités dans [s]a plainte du 27 mars 2022 ». Elle dénonce ainsi « un acharnement » qu’elle subirait de la part du Juge de paix C.________ et de la secrétaire et gestionnaire de dossier P.________. Elle soutient que « la voie civile préconisée par le Ministère public » aurait déjà été explorée et l’on comprend que celle-ci ne lui aurait pas donné satisfaction.</w:t>
      </w:r>
    </w:p>
    <w:p>
      <w:r>
        <w:rPr>
          <w:b/>
        </w:rPr>
        <w:t>E. 2.2.1</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Commentaire romand, Code de procédure pénale suisse, 2e éd., Bâle 2019 [ci-après : CR-CPP], nn. 1-2 ad art. 310 CPP) ou après une procédure préliminaire limitée aux investigations de la police (art. 300 al. 1 et 306 ss CPP), que les éléments constitutifs d’une infraction ou les conditions à l’ouverture de l’action pénale ne sont manifestement pas réunis (TF 6B_196/2020 du 14 octobre 2020 consid. 3.1 et les références).</w:t>
      </w:r>
    </w:p>
    <w:p>
      <w:r>
        <w:rPr>
          <w:b/>
        </w:rPr>
        <w:t>E. 2.2.2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w:t>
      </w:r>
    </w:p>
    <w:p>
      <w:r>
        <w:t>- 5 - Commentaire à l’usage des praticiens, 2012, n. 1126 ; Ziegler/Keller, in : Niggli/Heer/Wiprächtiger [éd.], Basler Kommentar, Schweizerische Strafprozessordnung, 2e éd., Bâle 2014 [ci-après : Basler Kommentar], n. 1a ad art. 385 CPP ; CREP 2 mai 2022/302 ; CREP 19 février 2021/163).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(TF 1B_318/2021 du 25 janvier 2022)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6B_510/2020 du 15 septembre 2020 consid. 2.2 ; TF 1B_472/2019 du 29 octobre 2019 consid. 3.1 ; TF 6B_120/2016 du 20 juin 2016 consid. 3.1 ; Keller, in : Zürcher Kommentar, op. cit., n. 14 ad art. 396 StPO et les références citées ; Calame, in : CR CPP, op. cit., n. 21 ad art. 385 CPP ; Guidon, in : Basler Kommentar, op. cit., n. 9c ad art. 396 StPO et les références citées).</w:t>
      </w:r>
    </w:p>
    <w:p>
      <w:r>
        <w:rPr>
          <w:b/>
        </w:rPr>
        <w:t>E. 2.2.3</w:t>
      </w:r>
    </w:p>
    <w:p>
      <w:r>
        <w:t>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w:t>
      </w:r>
    </w:p>
    <w:p>
      <w:r>
        <w:t>- 6 - 2021 consid. 2.4 ; TF 6B_510/2020 précité ; TF 1B_232/2017 du 19 juillet 2017 consid. 2.4.3 ; TF 1B_113/2017 du 19 juin 2017 consid. 2.4.3 ; TF 6B_120/2016 précité).</w:t>
      </w:r>
    </w:p>
    <w:p>
      <w:r>
        <w:rPr>
          <w:b/>
        </w:rPr>
        <w:t>E. 2.3</w:t>
      </w:r>
    </w:p>
    <w:p>
      <w:r>
        <w:t>En l’espèce, la recourante se contente de soulever des griefs peu compréhensibles et ne prend pas de conclusions qui tendent à la modification ou à l’annulation de l’ordonnance attaquée. Elle n’expose pas le moindre motif factuel ou juridique permettant de se convaincre que le Juge de paix C.________ ou la gestionnaire de dossier P.________ auraient commis une quelconque infraction à son encontre, se limitant à renvoyer la Cour de céans à la lecture de ses plaintes du 27 mars et 16 avril 2022. Le recours ne satisfait par conséquent pas aux exigences de l’art. 385 al. 1 CPP et un tel défaut de motivation ne saurait justifier qu’un délai supplémentaire soit fixé à la recourante pour compléter son recours en application de l’art. 385 al. 2 CPP. Le recours est dès lors irrecevable. De toute manière, il n’existe en l’espèce aucun élément ni soupçon de la commission d’infraction de violation de domicile, lésions corporelles, contrainte ou d’une quelconque autre infraction commise par le Juge de paix C.________ ou la secrétaire et gestionnaire de dossier P.________ dans le cadre du traitement du procès civil auquel la recourante était partie. Manifestement, cette dernière perd de vue que le fait qu’un magistrat, dans le cadre de ses attributions, et une gestionnaire de dossier, dans le cadre de son contrat de travail, rend des décisions lui donnant tort, respectivement rédige et envoie celles-ci, ne peut pas constituer en soi une infraction pénale. Quant au fait que le juge de paix aurait, ensuite de l’arrêt rendu par la Cour d’appel civile le 24 février 2022, fixé une nouvelle date pour l’exécution forcée de l’ordonnance d’expulsion par avis du 29 mars 2022, il ne saurait pas plus constituer une infraction pénale ; contrairement à ce que semble penser la recourante, la reddition d’un tel avis alors que, par hypothèse, le délai de recours auprès du Tribunal fédéral contre l’arrêt précité n’était pas échu n’y change rien. Il s’agit uniquement d’une conséquence attachée au caractère exécutoire de l’arrêt cantonal. Comme relevé par le Ministère public, les griefs de la recourante n’ont qu’un caractère civil et non pénal.</w:t>
      </w:r>
    </w:p>
    <w:p>
      <w:r>
        <w:t>- 7 - A supposer recevable, le recours devrait donc être rejeté.</w:t>
      </w:r>
    </w:p>
    <w:p>
      <w:r>
        <w:rPr>
          <w:b/>
        </w:rPr>
        <w:t>E. 3</w:t>
      </w:r>
    </w:p>
    <w:p>
      <w:r>
        <w:t>En définitive, le recours, manifestement mal fondé, dans la mesure de sa faible recevabilité, doit être rejeté sans échange d’écritures (art. 390 al. 2 CPP) et l’ordonnance attaquée confirmée. La requête tendant à l’octroi de l’assistance judiciaire gratuite pour la procédure de recours doit être rejetée dès lors que le recours était d’emblée dénué de toute chance de succès et qu’il en va de même d’éventuelles conclusions civiles, que la recourante n’a du reste pas prises ou articulées (art. 136 al. 1 let. b CPP ; TF 1B_317/2021 du 9 décembre 2021 consid. 4.3 ; CREP 8 mai 2020/346 consid. 6 et les références citées). Les frais de la procédure de recours, constitués du seul émolument d’arrêt, par 770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16 mai 2022 est confirmée. III. La requête d’assistance judiciaire est rejetée. IV. Les frais d’arrêt, par 770 fr. (sept cent septante francs), sont mis à la charge de la recourante. V. L’arrêt est exécutoire. La présidente : La greffière :</w:t>
      </w:r>
    </w:p>
    <w:p>
      <w:r>
        <w:t>- 8 - Du Le présent arrêt, dont la rédaction a été approuvée à huis clos, est notifié, par l’envoi d'une copie complète, à : - Mme M.________,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