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PE22.005591 vom 27. April 2023</w:t>
      </w:r>
    </w:p>
    <w:p>
      <w:r>
        <w:t>VD Tribunal cantonal, 2023-04-27, FR</w:t>
      </w:r>
    </w:p>
    <w:p>
      <w:r>
        <w:rPr>
          <w:b/>
        </w:rPr>
        <w:t xml:space="preserve">Quelle: </w:t>
      </w:r>
      <w:r>
        <w:t>https://mcp.opencaselaw.ch/entscheid/vd_gerichte_PE22.005591</w:t>
      </w:r>
    </w:p>
    <w:p>
      <w:r>
        <w:t>FR: VD_GERICHTE PE22.005591 du 27 avril 2023</w:t>
      </w:r>
    </w:p>
    <w:p>
      <w:r>
        <w:t>IT: VD_GERICHTE PE22.005591 del 27 aprile 2023</w:t>
      </w:r>
    </w:p>
    <w:p>
      <w:pPr>
        <w:pStyle w:val="Heading2"/>
      </w:pPr>
      <w:r>
        <w:t>Erwägungen</w:t>
      </w:r>
    </w:p>
    <w:p>
      <w:r>
        <w:rPr>
          <w:b/>
        </w:rPr>
        <w:t>E. 21</w:t>
      </w:r>
    </w:p>
    <w:p>
      <w:r>
        <w:t>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En matière d'astuce, le juge dispose d'une grande marge d'appréciation. Il doit se replacer dans la</w:t>
      </w:r>
    </w:p>
    <w:p>
      <w:r>
        <w:t>- 11 -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op. cit., n. 17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3.2.5 Selon l’art. 151 CP,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sera, sur plainte, puni d’une peine privative de liberté de trois ans au plus ou d’une peine pécuniaire. L’atteinte astucieuse aux intérêts pécuniaires d’autrui correspond à une escroquerie sans dessein d’enrichissement illégitime. L’auteur veut seulement nuire à autrui, sans chercher à s’enrichir ou à enrichir un tiers. Ainsi, hormis cet aspect, tous les autres éléments constitués de l’escroquerie (art. 146 CP) doivent être réalisés (Dupuis et al. [éd.], op. cit., n. 1 ad art. 151 CP ; Garbarski/Borsodi in : Macaluso/Moreillon/Queloz [éd.], Commentaire romand, Code pénal II, Bâle 2017, n. 3 ad art. 151 CP). 3.3 Comme l’a relevé à juste titre le Ministère public, il ressort du rapport de la société I.________ GmbH que M.________ était présent lors de</w:t>
      </w:r>
    </w:p>
    <w:p>
      <w:r>
        <w:t>- 12 - la saisie du véhicule à son domicile, qu’il a refusé de restituer les clés de la Porsche, qu’il a systématiquement claqué la porte au nez des employés de la société de recouvrement et qu’il n’a à aucun moment indiqué qu’il devait récupérer tel ou tel élément dans ou sur le véhicule. On ne retrouve d’ailleurs aucune trace du fait qu’il aurait immédiatement après la saisie indiqué à I.________ GmbH ou à V.________ SA qu’il devait récupérer des effets personnels. Ce n’est au contraire qu’ultérieurement que l’avocat de la plaignante est intervenu. On ne discerne ainsi pas ce que l’audition de M.________ pourrait apporter de plus s’agissant de l’établissement de la commission d’une éventuelle infraction. Par ailleurs, force est de constater que la résiliation du contrat par V.________ SA donnait à celle-ci le droit d’exiger la restitution du véhicule et que la recourante ne fait pas valoir dans sa plainte ou dans son recours que celui-ci lui aurait été soustrait sans droit. On ne saurait dès lors considérer que V.________ SA, E.________ ou encore I.________ GmbH auraient commis une quelconque infraction en venant prendre possession de la Porsche objet du contrat de leasing, lequel avait été résilié. Au demeurant, comme déjà dit, la recourante ne l’invoque pas. S’agissant des jantes dont aurait été pourvu le véhicule lors de sa saisie, la recourante a produit une facture du 13 novembre 2017 du Centre Porsche Lausanne (P. 5/17) mentionnant des roues d’été au prix de 6'582 fr. 20, TVA comprise. On ignore toutefois si ces roues faisaient partie de la voiture fournie ou si elles ont été achetées en plus, et même si elles se trouvaient sur le véhicule au moment de sa saisie, étant précisé qu’il s’agit de roues d’été et que l’enlèvement du véhicule a eu lieu au mois de décembre. Quoi qu’il en soit, ladite facture est libellée au nom d’O.________ SA, et non à celui de la recourante, qui n’explique au demeurant pas pour quelle raison ces jantes lui appartiendraient personnellement. N.________ Sàrl ne saurait dès lors se plaindre d’une quelconque appropriation ou soustraction à son détriment desdites jantes, ni d’un quelconque préjudice qui lui aurait été causé de ce fait. Enfin, comme déjà relevé, il ne ressort aucunement du rapport d’intervention d’I.________ GmbH que M.________, pourtant présent lors de l’enlèvement du véhicule litigieux, aurait indiqué que des effets lui appartenant se seraient trouvés dans la Porsche. La recourante ne dit</w:t>
      </w:r>
    </w:p>
    <w:p>
      <w:r>
        <w:t>- 13 - d’ailleurs pas de quels effets il s’agirait et fait valoir, dans son acte de recours, qu’il s’agirait des effets personnels de M.________, d’une part, ou des siens, d’autre part. Elle ne précise donc pas quels objets se seraient trouvés dans le véhicule au moment de sa saisie, de même que leur valeur et l’identité de leur éventuel propriétaire. Quoi qu’il en soit, il y a lieu de relever que M.________ n’a pas déposé plainte dans le cadre de la présente affaire et que N.________ Sàrl ne rend aucunement vraisemblable la présence dans le véhicule objet du contrat de leasing de quelque objet que ce soit qui lui aurait appartenu. Ainsi, la recourante ne fournit aucun indice concret de la commission par E.________ ou toute autre personne d’une infraction à son encontre. Elle ne démontre en particulier pas, ni même ne rend vraisemblable, quelle chose lui appartenant il se serait appropriée, quel enrichissement illégitime il se serait procuré ou aurait procuré à un tiers, quel préjudice elle aurait subi, ni même par quel procédé astucieux ou affirmations fallacieuses il l’aurait trompée, étant précisé que le simple fait de ne pas lui avoir annoncé la date de l’intervention d'enlèvement du véhicule et de ne pas avoir procédé à celle-ci dès la résiliation du contrat de leasing ne saurait être considéré comme une tromperie astucieuse. Quant à l’élément subjectif, la recourante ne développe aucun argument à cet égard, si ce n’est que V.________ SA avait parfaitement conscience de l’avantage que lui procurerait l’appropriation de ces biens. On ne voit au demeurant pas comment un tel élément pourrait être retenu à charge de V.________ SA ou d’E.________, qui n’ont pas participé aux événements du 13 décembre 2021. On constate ainsi d’emblée qu’aucun des éléments constitutifs des infractions de vol, d’appropriation illégitime, de soustraction d'une chose mobilière, d'escroquerie et d’atteinte astucieuse aux intérêts pécuniaires d'autrui ne sont réunis. C’est donc à juste titre que la procureure a considéré qu’aucun comportement répréhensible ne pouvait être reproché à E.________ et qu’elle a refusé d’entrer en matière sur la plainte de N.________ Sàrl.</w:t>
      </w:r>
    </w:p>
    <w:p>
      <w:r>
        <w:t>- 14 - 4. En définitive, le recours, manifestement mal fondé, doit être rejeté sans échange d’écritures (art. 390 al. 2 CPP) et l’ordonnance attaquée confirmée. Les frais de la procédure de recours, constitués du seul émolument d’arrêt, par 1’430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de non-entrée en matière du 3 mars 2023 est confirmée. III. Les frais d’arrêt, par 1’430 fr. (mille quatre cent trente francs), sont mis à la charge de N.________ Sàrl. IV. L’arrêt est exécutoire. La présidente : La greffière : Du Le présent arrêt, dont la rédaction a été approuvée à huis clos, est notifié, par l'envoi d'une copie complète, à : - Me Michel Bussard, avocat (pour N.________ Sàrl), - Ministère public central,</w:t>
      </w:r>
    </w:p>
    <w:p>
      <w:r>
        <w:t>- 15 -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