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PE22.005459 vom 17. Juni 2022</w:t>
      </w:r>
    </w:p>
    <w:p>
      <w:r>
        <w:t>VD Tribunal cantonal, 2022-06-17, FR</w:t>
      </w:r>
    </w:p>
    <w:p>
      <w:r>
        <w:rPr>
          <w:b/>
        </w:rPr>
        <w:t xml:space="preserve">Quelle: </w:t>
      </w:r>
      <w:r>
        <w:t>https://mcp.opencaselaw.ch/entscheid/vd_gerichte_PE22.005459</w:t>
      </w:r>
    </w:p>
    <w:p>
      <w:r>
        <w:t>FR: VD_GERICHTE PE22.005459 du 17 juin 2022</w:t>
      </w:r>
    </w:p>
    <w:p>
      <w:r>
        <w:t>IT: VD_GERICHTE PE22.005459 del 17 giugno 2022</w:t>
      </w:r>
    </w:p>
    <w:p>
      <w:pPr>
        <w:pStyle w:val="Heading2"/>
      </w:pPr>
      <w:r>
        <w:t>Erwägungen</w:t>
      </w:r>
    </w:p>
    <w:p>
      <w:r>
        <w:rPr>
          <w:b/>
        </w:rPr>
        <w:t>E. 1</w:t>
      </w:r>
    </w:p>
    <w:p>
      <w:r>
        <w:t>CPP), le recours de Q.________ est recevable.</w:t>
      </w:r>
    </w:p>
    <w:p>
      <w:r>
        <w:rPr>
          <w:b/>
        </w:rPr>
        <w:t>E. 2</w:t>
      </w:r>
    </w:p>
    <w:p>
      <w:r>
        <w:t>CPP). En tout état de cause, une affaire n'est pas de peu de gravité lorsque le prévenu est passible d'une peine privative de liberté de plus de quatre mois ou d'une peine pécuniaire de plus de cent-vingt jours-amende (art. 132 al. 3 CPP ; TF 1B_229/2021 du 9 septembre 2021 consid. 4.1).</w:t>
      </w:r>
    </w:p>
    <w:p>
      <w:r>
        <w:t>- 5 - Si les deux conditions mentionnées à l'art. 132 al. 2 CPP doivent être réunies cumulativement, il n'est pas exclu que l'intervention d'un défenseur soit justifiée par d'autres motifs (comme l'indique l'adverbe « notamment »), en particulier dans les cas où cette mesure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(TF 1B_229/2021 précité ; TF 1B_194/2021 du 21 juin 2021 consid. 3.1).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RDAF 2018 I 310 ; TF 1B_229/2021 précité).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1B_229/2021 précité ; TF 1B_194/2021 précité et les arrêts cités). S’agissant de la difficulté objective de la cause, à l’instar de ce qu’elle a développé en rapport avec les chances de succès d’un recours (ATF 139 III 396 consid. 1.2, JdT 2015 II 411 ; ATF 129 I 129 consid. 2.3.1, JdT 2005 IV 300), la jurisprudence impose de se demander si une personne raisonnable et de bonne foi, qui présenterait les mêmes caractéristiques que le requérant mais disposerait de ressources suffisantes, ferait ou non appel à un avocat (ATF 140 IV 521 consid. 9.1). La difficulté objective</w:t>
      </w:r>
    </w:p>
    <w:p>
      <w:r>
        <w:t>- 6 - d’une cause est admise sur le plan juridique lorsque la subsomption des faits donne lieu à des doutes, que ce soit de manière générale ou dans le cas particulier (TF 1B_475/2020 du 19 novembre 2020 consid. 2.2 ; TF 1B_360/2020 du 4 septembre 2020 et l’arrêt cité).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1B_229/2021 précité ; TF 1B_194/2021 précité).</w:t>
      </w:r>
    </w:p>
    <w:p>
      <w:r>
        <w:rPr>
          <w:b/>
        </w:rPr>
        <w:t>E. 2.1</w:t>
      </w:r>
    </w:p>
    <w:p>
      <w:r>
        <w:t>En dehors des cas de défense obligatoire visés à l'art. 130 CPP, l'art. 132 al. 1 let. b CPP soumet le droit à l'assistance d'un défenseur d'office aux conditions que le prévenu soit indigent et que la sauvegarde de ses intérêts justifie une telle assistance. Une personne est indigente lorsqu’elle n'est pas en mesure d'acquitter les frais du procès sans avoir recours à des moyens qui lui sont nécessaires pour subvenir à ses besoins élémentaires et à ceux de sa famille (ATF 144 III 531 consid. 4.1 ; ATF 141 III 369 consid. 4.1 ; ATF 128 I 225 consid. 2.5.1, JdT 2006 IV 47).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w:t>
      </w:r>
    </w:p>
    <w:p>
      <w:r>
        <w:rPr>
          <w:b/>
        </w:rPr>
        <w:t>E. 2.2.1</w:t>
      </w:r>
    </w:p>
    <w:p>
      <w:r>
        <w:t>Le recourant fait d’abord valoir que l’issue de la procédure aurait une importance particulière pour lui, dès lors qu’il souhaiterait travailler dans la sécurité. Ce moyen n’est pas pertinent, s’agissant de conjectures sur l’avenir professionnel du recourant. Si on devait le suivre, chaque procédure pénale serait susceptible de justifier la désignation d’un défenseur d’office, étant donné que toute condamnation pénale peut générer des entraves à un parcours professionnel. Le fait que le recourant souhaite travailler dans le domaine spécifique de la sécurité ne change rien à ce qui précède, ce d’autant que son casier judiciaire contient déjà une précédente inscription. Mal fondé, ce grief doit être rejeté.</w:t>
      </w:r>
    </w:p>
    <w:p>
      <w:r>
        <w:rPr>
          <w:b/>
        </w:rPr>
        <w:t>E. 2.2.2</w:t>
      </w:r>
    </w:p>
    <w:p>
      <w:r>
        <w:t>Le recourant fait ensuite valoir que l’égalité des armes commanderait qu’un défenseur lui soit désigné, dès lors qu’il est opposé à l’Etat de Vaud, par l’entremise du SCTP, qui dispose de ressources largement supérieures au siennes pour se défendre. Cela étant, les ressources de la partie plaignante n’ont pas d’impact sur la question de la complexité en faits ou en droit de la présente cause.</w:t>
      </w:r>
    </w:p>
    <w:p>
      <w:r>
        <w:t>- 7 - Mal fondé, ce grief doit être rejeté.</w:t>
      </w:r>
    </w:p>
    <w:p>
      <w:r>
        <w:rPr>
          <w:b/>
        </w:rPr>
        <w:t>E. 2.2.3</w:t>
      </w:r>
    </w:p>
    <w:p>
      <w:r>
        <w:t>Le recourant fait enfin valoir qu’il ne pourrait plus être représenté par sa curatrice dans cette affaire en raison d’un conflit d’intérêt. Il relève que sa curatrice se trouvera en face de la cheffe du SCTP, qui n’est autre que son supérieur hiérarchique, en ce qui concernera la question des prétentions civiles. A juste titre, le Ministère public admet que l’indigence du recourant est avérée. La question litigieuse porte ainsi sur la seconde condition de l’art. 132 al. 2 CPP, à savoir, celle qui consiste à déterminer si la cause présente des difficultés que le prévenu ne serait pas en mesure de surmonter sans l’assistance d’un défenseur. Certes, d’emblée, les infractions envisagées ne présentent pas de difficulté particulière du point de vue des faits ou du droit. Le recourant admet les faits qui lui sont reprochés et a même exprimé, à plusieurs reprises, des regrets à leur propos. Cela dit, Q.________ fait l’objet d’une curatelle de représentation et de gestion, ce qui peut sous-tendre, subjectivement, une aptitude moindre à mesurer les enjeux d’une procédure judiciaire et à se défendre sans l’assistance d’un tiers. Cela étant posé, on pourrait a priori admettre que le mandat de représentation et de gestion confié à une curatrice du SCTP suffise à garantir au prévenu l’assistance nécessaire pour défendre ses intérêts. Néanmoins, il convient de considérer les circonstances particulières de la présente cause, qui relève d’un conflit entre un administré et le service étatique compétent pour la curatelle de représentation et de gestion dont il fait l’objet. Si de manière générale, l’impartialité de la curatrice du recourant ne saurait être remise en cause, il en va différemment dans le cas d’espèce, du fait des rapports qu’elle entretient avec la partie plaignante, qui n’est autre que son employeur. Dans ce cadre, on peut effectivement craindre – du point de vue des apparences – qu’elle ne soit pas en mesure de représenter le recourant en servant ses intérêts adéquatement, et qu’elle</w:t>
      </w:r>
    </w:p>
    <w:p>
      <w:r>
        <w:t>- 8 - soit tentée de négocier des prétentions civiles au détriment de son pupille. Il existe ainsi l’apparence concrète d’un conflit d’intérêt. Il convient ainsi d’admettre que le prévenu n’est pas en mesure de faire face seul à la procédure pénale et qu’il ne saurait être adéquatement représenté par sa curatrice. En conséquence, un défenseur d’office doit lui être désigné. Me David Métille sera chargé de ce mandat, conformément aux souhaits exprimés par le recourant (art. 133 al. 2 CPP). L’ordonnance du 6 mai 2022 sera réformée dans le sens des considérants qui précèdent.</w:t>
      </w:r>
    </w:p>
    <w:p>
      <w:r>
        <w:rPr>
          <w:b/>
        </w:rPr>
        <w:t>E. 3</w:t>
      </w:r>
    </w:p>
    <w:p>
      <w:r>
        <w:t>Il s’ensuit que le recours doit être admis et l’ordonnance du 6 mai 2022 réformée en ce sens que Q.________ est mis au bénéfice de l’assistance judiciaire, celle-ci comprenant la désignation d’un défenseur d’office en la personne de Me David Metille. La désignation prendra effet au jour du dépôt de la demande, soit le 2 mai 2022 (cf. CREP 27 mai 2022/368 ; CREP 12 septembre 2021/804). L’ordonnance sera confirmée pour le surplus. S’agissant de la requête de Q.________ tendant à l’octroi de l’assistance judiciaire pour la procédure de recours, elle est superflue. En effet, l’admission du présent recours a pour conséquence la désignation de Me David Métille en qualité de défenseur d’office dans le cadre de l’enquête diligentée par le Ministère public, ce qui vaut également pour la procédure de recours (CREP 25 juillet 2013/454 et les références citées). Au vu de la nature de l’affaire et du mémoire de recours produit, l’indemnité de défenseur d’office pour la procédure de recours sera fixée à 450 fr., correspondant à une activité nécessaire d’avocat de 2,5 heures au tarif horaire de 180 fr., montant auquel il convient d’ajouter des débours forfaitaires à concurrence de 2 % des honoraires admis (art. 3bis al. 1 RAJ [règlement sur l’assistance judiciaire en matière civile du 7 décembre 2017 ; BLV 211.02.3], applicable par renvoi de l’art. 26b TFIP [tarif des frais de procédure et indemnités en matière pénale du 28 septembre 2010 ; BLV 312.03.1]), par 9 fr., plus la TVA sur le tout, par 35 fr.35, soit 495 fr. au total en chiffres arrondis.</w:t>
      </w:r>
    </w:p>
    <w:p>
      <w:r>
        <w:t>- 9 - Vu le sort du recours, les frais de la procédure, constituées de l’émolument d’arrêt, par 880 fr. (art. 20 al. 1 TFIP), et des frais imputables à la défense d’office (art. 422 al. 1 et 2 let. a CPP), par 495 fr., seront laissés à la charge de l’Etat (art. 423 al. 1 CPP). Par ces motifs, la Chambre des recours pénale prononce : I. Le recours est admis. II. L’ordonnance du 6 mai 2022 est réformée au chiffre I de son dispositif en ce sens que Me David Métille est désigné en qualité de défenseur d’office de Q.________ avec effet au 2 mai 2022. L’ordonnance est confirmée pour le surplus. III. L’indemnité allouée au défenseur d’office de Q.________ pour la procédure de recours est fixée à 495 fr. (quatre cent nonante- cinq francs). IV. Les frais d’arrêt, par 880 fr. (huit cent huitante francs), ainsi que l’indemnité due au défenseur d’office, par 495 fr. (quatre cent nonante-cinq francs), sont laissés à la charge de l’Etat. V. L’arrêt est exécutoire. La présidente : La greffière : Du Le présent arrêt, dont la rédaction a été approuvée à huis clos, est notifié, par l'envoi d'une copie complète, à : - Me David Metille, avocat (pour Q.________), - Ministère public central,</w:t>
      </w:r>
    </w:p>
    <w:p>
      <w:r>
        <w:t>- 10 - et communiqué à : - Mme la Procureure de l’arrondissement de Lausanne, - Mme [...], SCPT, 1014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