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PE22.005451 vom 21. Juli 2022</w:t>
      </w:r>
    </w:p>
    <w:p>
      <w:r>
        <w:t>VD Tribunal cantonal, 2022-07-21, FR</w:t>
      </w:r>
    </w:p>
    <w:p>
      <w:r>
        <w:rPr>
          <w:b/>
        </w:rPr>
        <w:t xml:space="preserve">Quelle: </w:t>
      </w:r>
      <w:r>
        <w:t>https://mcp.opencaselaw.ch/entscheid/vd_gerichte_PE22.005451</w:t>
      </w:r>
    </w:p>
    <w:p>
      <w:r>
        <w:t>FR: VD_GERICHTE PE22.005451 du 21 juillet 2022</w:t>
      </w:r>
    </w:p>
    <w:p>
      <w:r>
        <w:t>IT: VD_GERICHTE PE22.005451 del 21 luglio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Il s’ensuit que le recours doit être admis et l’ordonnance attaquée réformée en ce sens que la qualité de partie plaignante est reconnue à H.________ dès le dépôt de sa plainte pénale du 22 mars 2022. L’ordonnance sera maintenue pour le surplus. Les frais d’arrêt, par 990 fr. (art. 20 al. 1 TFIP [tarif des frais de procédure et indemnités en matière pénale du 28 septembre 2010 ; BLV 312.03.1]), seront laissés à la charge de l’Etat (art. 423 al. 1 CPP). Le recourant, qui a procédé avec l’assistance d’un conseil de choix et qui a obtenu gain de cause a droit à une indemnité pour les dépenses obligatoires occasionnées par la procédure de recours. Le tarif horaire sera fixé à 300 fr. pour tenir compte du degré de complexité moyen de la cause (art. 26a al. 4 TFIP). Au vu du mémoire de recours, les honoraires doivent être fixés à 900 fr., correspondant à trois heures d’activité nécessaires d’avocat à 300 fr. de l’heure (cf. art. 26a al. 3 TFIP), auxquels s’ajoutent des débours forfaitaires de 2 %, par 18 fr. (cf. art. 26a TFIP qui renvoi à l’art. 19 al. 2 TDC [tarif des dépens en matière civile du 23 novembre 2010 ; BLV 270.11.6]), ainsi qu’un montant correspondant à la TVA (au taux de 7.7 %), par 70 fr. 70. L’indemnité s’élève donc à 989 fr. en chiffres arrondis. Elle sera mise à la charge de l’Etat, en l’absence de partie succombante (art. 436 al. 3 CPP par analogie ; TF 6B_538/2021 du 8 décembre 2021 consid. 1.1 et les références citées).</w:t>
      </w:r>
    </w:p>
    <w:p>
      <w:r>
        <w:t>- 10 - Par ces motifs, la Chambre des recours pénale prononce : I. Le recours est admis. II. L’ordonnance du 29 mars 2022 est réformée comme il suit : « I. reconnaît la qualité de partie plaignante à H.________ en lien avec les faits objets de sa plainte pénale du 22 mars 2022 » L’ordonnance est maintenue pour le surplus. III. Une indemnité de 989 fr. (neuf cent huitante-neuf francs) est allouée à H.________ pour ses dépenses obligatoires occasionnées par la procédure de recours, à la charge de l’Etat. IV. Les frais d’arrêt, par 990 fr. (neuf cent nonante francs), sont laissés à la charge de l’Etat. V. L’arrêt est exécutoire. La présidente : La greffière : Du Le présent arrêt, dont la rédaction a été approuvée à huis clos, est notifié, par l'envoi d'une copie complète, à : - Me Sandro Brantschen, avocat (pour H.________), - Ministère public central, et communiqué à : - M. le Procureur de l’arrondissement de Lausanne, par l’envoi de photocopies.</w:t>
      </w:r>
    </w:p>
    <w:p>
      <w:r>
        <w:t>- 11 -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