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PE22.005373 vom 30. Mai 2023</w:t>
      </w:r>
    </w:p>
    <w:p>
      <w:r>
        <w:t>VD Tribunal cantonal, 2023-05-30, FR</w:t>
      </w:r>
    </w:p>
    <w:p>
      <w:r>
        <w:rPr>
          <w:b/>
        </w:rPr>
        <w:t xml:space="preserve">Quelle: </w:t>
      </w:r>
      <w:r>
        <w:t>https://mcp.opencaselaw.ch/entscheid/vd_gerichte_PE22.005373</w:t>
      </w:r>
    </w:p>
    <w:p>
      <w:r>
        <w:t>FR: VD_GERICHTE PE22.005373 du 30 mai 2023</w:t>
      </w:r>
    </w:p>
    <w:p>
      <w:r>
        <w:t>IT: VD_GERICHTE PE22.005373 del 30 maggio 2023</w:t>
      </w:r>
    </w:p>
    <w:p>
      <w:pPr>
        <w:pStyle w:val="Heading2"/>
      </w:pPr>
      <w:r>
        <w:t>Erwägungen</w:t>
      </w:r>
    </w:p>
    <w:p>
      <w:r>
        <w:rPr>
          <w:b/>
        </w:rPr>
        <w:t>E. 10</w:t>
      </w:r>
    </w:p>
    <w:p>
      <w:r>
        <w:t>mois, sans toutefois en détailler la construction. Au regard des antécédents judiciaires de l’appelant et pour des motifs de prévention spéciale, c’est à juste titre que l’autorité précédente a retenu que seule une peine privative de liberté ferme entrait en ligne de compte pour réprimer les infractions de vol, de tentative de vol, de dommages à la propriété, de violation de domicile, de violence ou de menace contre les autorités ou les fonctionnaires et d’infraction à la loi fédérale sur les étrangers et l’intégration. S’agissant de la quotité de la peine, l’infraction de vol, qui constitue l’infraction principale, doit être réprimée par une peine privative de liberté de 4 mois. Conformément au principe d’aggravation découlant du concours d’infractions, cette peine sera majorée d’1 mois pour réprimer l’infraction de tentative de vol, d’1 mois pour les dommages à la propriété, de 2 mois pour la violation de domicile, d’1 mois pour la violence ou menace contre les autorités et les fonctionnaires et d’1 mois pour l’infraction à la loi fédérale sur les étrangers et l’intégration. En définitive, c’est donc une peine privative de liberté de 10 mois qui doit sanctionner les comportements de l’appelant. Par ailleurs, au vu de la culpabilité de l’appelant et de sa situation financière, une peine pécuniaire de 30 jours-amende à 30 fr. le jour doit être prononcée pour sanctionner les injures, ainsi qu’une amende de 600 fr. pour les contraventions commises, la peine privative de liberté de substitution étant arrêtée à 6 jours. 5. En définitive, l’appel d’W.________ doit être rejeté et le jugement entrepris confirmé. L’indemnité allouée au défenseur d’office de l’appelant doit être arrêtée sur la base de la liste d’opérations produite le 20 septembre 2023, dont il n’y a pas lieu de s’écarter, à un montant de 914 fr., débours et TVA inclus, correspondant à 1 heure et 12 minutes d’activité d’avocat au tarif horaire de 180 fr. et 5 heures et 36 minutes d’activité d’avocat- stagiaire au tarif horaire de 110 fr., par 832 fr., auxquels s’ajoutent, des débours forfaitaires à concurrence de 2 % des honoraires admis, par 16 fr.</w:t>
      </w:r>
    </w:p>
    <w:p>
      <w:r>
        <w:t>- 14 - 65, plus la TVA au taux de 7,7 %, par 65 fr. 35 (art. 2 al. 1 let. a et b, 3bis al. 1 et al. 3 RAJ [Règlement sur l’assistance judiciaire en matière civile du 7 décembre 2019 ; BLV 211.02.3], applicables par renvoi de l’art. 26b TFIP [Tarif des frais de procédure et indemnités en matière pénale du 28 septembre 2010 ; BLV 312.03.1]). Vu l’issue de la cause, les frais de la procédure d’appel, par 2’344 fr., constitués de l’émolument du présent jugement, par 1’430 fr. (art. 21 al. 1 TFIP [tarif des frais de procédure et indemnités en matière pénale du 28 septembre 2010 ; BLV 312.03.1]), et de l’indemnité précitée (art. 422 al. 2 let. a CPP), seront mis à la charge d’W.________. L’appelant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