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PE22.005065 vom 13. Juni 2022</w:t>
      </w:r>
    </w:p>
    <w:p>
      <w:r>
        <w:t>VD Tribunal cantonal, 2022-06-13, FR</w:t>
      </w:r>
    </w:p>
    <w:p>
      <w:r>
        <w:rPr>
          <w:b/>
        </w:rPr>
        <w:t xml:space="preserve">Quelle: </w:t>
      </w:r>
      <w:r>
        <w:t>https://mcp.opencaselaw.ch/entscheid/vd_gerichte_PE22.005065</w:t>
      </w:r>
    </w:p>
    <w:p>
      <w:r>
        <w:t>FR: VD_GERICHTE PE22.005065 du 13 juin 2022</w:t>
      </w:r>
    </w:p>
    <w:p>
      <w:r>
        <w:t>IT: VD_GERICHTE PE22.005065 del 13 giugno 2022</w:t>
      </w:r>
    </w:p>
    <w:p>
      <w:pPr>
        <w:pStyle w:val="Heading2"/>
      </w:pPr>
      <w:r>
        <w:t>Erwägungen</w:t>
      </w:r>
    </w:p>
    <w:p>
      <w:r>
        <w:rPr>
          <w:b/>
        </w:rPr>
        <w:t>E. 1</w:t>
      </w:r>
    </w:p>
    <w:p>
      <w:r>
        <w:t>Déposé en temps utile (art. 396 al. 1 CPP [Code de procédure pénale suisse du 5 octobre 2007 ; RS 312.0]), par une partie qui a un intérêt juridiquement protégé (art. 382 al. 1 CPP), dans les formes prescrites (art. 385 al. 1 CPP), auprès de l'autorité compétente qui, dans le canton de Vaud, est la Chambre des recours pénale (art. 80 LOJV [loi</w:t>
      </w:r>
    </w:p>
    <w:p>
      <w:r>
        <w:t>- 4 - d'organisation judiciaire du 12 septembre 1979 ; BLV 173.01] ; art. 13 LVCPP [loi d’introduction du Code de procédure pénale suisse du 19 mai 2009 ; BLV 312.01]), le recours est recevable.</w:t>
      </w:r>
    </w:p>
    <w:p>
      <w:r>
        <w:rPr>
          <w:b/>
        </w:rPr>
        <w:t>E. 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et les références). Dans le doute, lorsque les conditions d'une non-entrée en matière ne sont pas réalisées avec une certitude absolue, l'instruction doit être ouverte (TF 6B_196/2020 précité consid. 3.1 et les références ;</w:t>
      </w:r>
    </w:p>
    <w:p>
      <w:r>
        <w:t>- 5 -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 et les références).</w:t>
      </w:r>
    </w:p>
    <w:p>
      <w:r>
        <w:rPr>
          <w:b/>
        </w:rPr>
        <w:t>E. 3.1</w:t>
      </w:r>
    </w:p>
    <w:p>
      <w:r>
        <w:t>Le recourant soutient que les propos tenus par F.________ et G.________ laissent entendre sans équivoque qu’il pourrait avoir commis une malhonnêteté dans la gestion des comptes du P.________ durant son mandat en qualité de membre du comité, ce qui est attentatoire à l’honneur selon la jurisprudence du Tribunal fédéral. Il ajoute que F.________ et G.________ sont allés encore plus loin que de mentionner des « faits troublants » dans la situation financière du P.________, puisqu’ils ont également fait état de la possibilité de déposer une plainte pénale contre lui.</w:t>
      </w:r>
    </w:p>
    <w:p>
      <w:r>
        <w:rPr>
          <w:b/>
        </w:rPr>
        <w:t>E. 3.2</w:t>
      </w:r>
    </w:p>
    <w:p>
      <w:r>
        <w:t>Se rend coupable de diffamation au sens de l’art. 173 CP,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Se rend coupable de calomnie au sens de l'art. 174 ch. 1 CP celui qui, connaissant la fausseté de ses allégations, aura, en s'adressant à un tiers, accusé une personne ou jeté sur elle le soupçon de tenir une</w:t>
      </w:r>
    </w:p>
    <w:p>
      <w:r>
        <w:t>- 6 - conduite contraire à l'honneur, ou de tout autre fait propre à porter atteinte à sa considération.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145 IV 462 consid. 4.2.2 ;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Toutefois, le fait de pouvoir critiquer les qualités professionnelles sans tomber sous le coup des infractions contre l’honneur a des limites. Le Tribunal fédéral a ainsi retenu une atteinte à l'honneur, même dans ces domaines, si on évoque une infraction pénale ou un</w:t>
      </w:r>
    </w:p>
    <w:p>
      <w:r>
        <w:t>- 7 - comportement clairement réprouvé par les conceptions morales généralement admises (ATF 145 IV 462 consid. 4.2.2 et les références). Jouit également du droit à l'honneur toute personne morale ou entité capable d'ester en justice, à l'exception des collectivités publiques et des autorités (ATF 124 IV 262 consid. 2a ; TF 6B_1020/2018 du 1er juillet 2019 consid. 5.1.1).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6B_1020/2018 précité ; TF 6B_119/2017 du 12 décembre 2017 consid. 3.1).</w:t>
      </w:r>
    </w:p>
    <w:p>
      <w:r>
        <w:rPr>
          <w:b/>
        </w:rPr>
        <w:t>E. 3.3</w:t>
      </w:r>
    </w:p>
    <w:p>
      <w:r>
        <w:t>En l’espèce, il est vrai que les affirmations selon lesquelles « le P.________ a été plongé dans une profonde crise », « l’ancien comité a notamment violé à de nombreuses reprises nos statuts afin de se soustraire à ses obligations » et « le comité a été poussé vers la sortie par les membres », ne font pas apparaître le recourant comme une personne méprisable. En revanche, les trois paragraphes suivants au sujet de la situation financière du club, de l’audit mis en œuvre et des résultats de celui-ci laissent entendre qu’il est « démontré » qu’il existe des « écarts importants » au niveau comptable, d’une part entre ce qui figure dans le programme de comptabilité et les paiements postaux effectués concernant le versement des salaires, d’autre part entre les comptes présentés qui n’étaient jamais déficitaires et le solde des réserves. Le sens qui se dégage de ces propos est que le recourant se serait rendu coupable de malversations financières, de faux dans les titres et d’inobservation des prescriptions légales sur la comptabilité. Ce faisant, F.________ et G.________ évoquent des infractions pénales, ce qui, selon la jurisprudence, suffit à constituer une atteinte à l’honneur. Du reste, dans le paragraphe suivant, les auteurs de la correspondance se réservent la possibilité de déposer une plainte pénale contre le recourant.</w:t>
      </w:r>
    </w:p>
    <w:p>
      <w:r>
        <w:t>- 8 - Dans ces conditions, il appartiendra au Ministère public d’ouvrir une instruction contre F.________ et G.________ pour calomnie, subsidiairement diffamation, d’examiner si ceux-ci peuvent être admis à apporter la preuve de la vérité ou de leur bonne foi selon l’art. 173 ch. 3 CP, de les entendre si tel est le cas et de procéder à tout autre acte d’instruction qu’il estimera nécessaire pour éclaircir les points litigieux.</w:t>
      </w:r>
    </w:p>
    <w:p>
      <w:r>
        <w:rPr>
          <w:b/>
        </w:rPr>
        <w:t>E. 4</w:t>
      </w:r>
    </w:p>
    <w:p>
      <w:r>
        <w:t>Il résulte de ce qui précède que le recours de X.________ doit être admis. Dans la mesure où X.________ a déposé une plainte pénale pour son propre compte et pour celui d’O.________, mais qu’il n’a formé recours qu’en son nom, l’ordonnance entreprise sera annulée en ce qui le concerne personnellement, mais maintenue en ce qui concerne O.________, et la cause renvoyée au Ministère public pour qu'il procède dans le sens des considérants. Les frais de la procédure de recours sont fixés à 880 fr. (art. 20 al. 1 TFIP [tarif des frais de procédure et indemnités en matière pénale du 28 septembre 2010 ; BLV 312.03.1]). Le recourant, qui obtient gain de cause et qui a procédé avec l’assistance d’un avocat de choix, a droit à une indemnité pour les dépenses occasionnées par l’exercice raisonnable de ses droits de procédure. Au vu du mémoire déposé et de la nature de l’affaire, l’indemnité sera fixée à 900 fr., sur la base de 3 h d’activité nécessaire d’avocat au tarif horaire de 300 fr. (art. 26a al. 3 TFIP). Il faut y ajouter 2 % pour les débours forfaitaires (art. 19 al. 2 TDC [tarif des dépens en matière civile du 23 novembre 2010 ; BLV 270.11.6] par renvoi de l’art. 26a al. 6 TFIP), soit 18 fr., et la TVA de 7,7 % sur le tout, soit 70 fr. 70, ce qui correspond à la somme totale de 989 fr. en chiffres ronds. Les frais de la procédure de recours et l’indemnité allouée au recourant seront laissés à la charge de l’Etat (art. 428 al. 4 et 436 al. 3 CPP).</w:t>
      </w:r>
    </w:p>
    <w:p>
      <w:r>
        <w:t>- 9 - Par ces motifs, la Chambre des recours pénale prononce : I. Le recours est admis. II. L’ordonnance du 8 avril 2022 est annulée en ce qui concerne X.________. III. L’ordonnance du 8 avril 2022 est maintenue en ce qui concerne O.________. IV. Le dossier de la cause est renvoyé au Ministère public de l’arrondissement de La Côte pour qu’il procède dans le sens des considérants. V. Les frais d’arrêt, par 880 fr. (huit cent huitante francs), sont laissés à la charge de l’Etat. VI. Une indemnité de 989 fr. (neuf cent huitante-neuf francs) est allouée à X.________ pour les dépenses occasionnées par la procédure de recours, à la charge de l’Etat. VII. L’arrêt est exécutoire. La présidente : La greffière : Du Le présent arrêt, dont la rédaction a été approuvée à huis clos, est notifié, par l'envoi d'une copie complète, à : - Me Sara Giardina, avocate (pour X.________), - Ministère public central, et communiqué à : - Mme la Procureure du Ministère public de l’arrondissement de La Côte, par l’envoi de photocopies.</w:t>
      </w:r>
    </w:p>
    <w:p>
      <w:r>
        <w:t>- 10 -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