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PE22.004865 vom 23. Februar 2023</w:t>
      </w:r>
    </w:p>
    <w:p>
      <w:r>
        <w:t>VD Tribunal cantonal, 2023-02-23, FR</w:t>
      </w:r>
    </w:p>
    <w:p>
      <w:r>
        <w:rPr>
          <w:b/>
        </w:rPr>
        <w:t xml:space="preserve">Quelle: </w:t>
      </w:r>
      <w:r>
        <w:t>https://mcp.opencaselaw.ch/entscheid/vd_gerichte_PE22.004865</w:t>
      </w:r>
    </w:p>
    <w:p>
      <w:r>
        <w:t>FR: VD_GERICHTE PE22.004865 du 23 février 2023</w:t>
      </w:r>
    </w:p>
    <w:p>
      <w:r>
        <w:t>IT: VD_GERICHTE PE22.004865 del 23 febbraio 2023</w:t>
      </w:r>
    </w:p>
    <w:p>
      <w:pPr>
        <w:pStyle w:val="Heading2"/>
      </w:pPr>
      <w:r>
        <w:t>Erwägungen</w:t>
      </w:r>
    </w:p>
    <w:p>
      <w:r>
        <w:rPr>
          <w:b/>
        </w:rPr>
        <w:t>E. 1.1</w:t>
      </w:r>
    </w:p>
    <w:p>
      <w:r>
        <w:t>La décision par laquelle le ministère public prend acte du retrait de l’opposition et déclare l’ordonnance pénale exécutoire, est susceptible de recours selon les art. 393 ss CPP (Schwarzenegger, in : Donatsch/Lieber/Summers/ Wohlers [éd.], Kommentar zur Schweizerischen Strafprozessordnung, 3e éd., Zurich/Bâle/Genève 2020, n. 2 ad art. 355 CPP ; Riklin, in : Niggli/Heer/Wiprächtiger [éd.], Basler Kommentar, Schweizerische Strafprozessordnung, 2e éd., Bâle 2014, n. 5 ad art. 355 CPP ; CREP 13 septembre 2021/849).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w:t>
      </w:r>
    </w:p>
    <w:p>
      <w:r>
        <w:rPr>
          <w:b/>
        </w:rPr>
        <w:t>E. 1.2</w:t>
      </w:r>
    </w:p>
    <w:p>
      <w:r>
        <w:t>Selon l’art. 385 al. 1 CPP, la personne ou l’autorité qui recourt doit indiquer précisément les points de la décision qu’elle attaque (let. a), les motifs qui commandent une autre décision (let. b) et les moyens de</w:t>
      </w:r>
    </w:p>
    <w:p>
      <w:r>
        <w:t>- 4 - preuves qu’elle invoque (let. c). L’art. 385 al. 2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w:t>
      </w:r>
    </w:p>
    <w:p>
      <w:r>
        <w:rPr>
          <w:b/>
        </w:rPr>
        <w:t>E. 1.3</w:t>
      </w:r>
    </w:p>
    <w:p>
      <w:r>
        <w:t>En l’espèce, l’acte déposé par Y.________, qui a qualité pour recourir (art. 382 al. 1 CPP), a été déposé en temps utile. Il ne satisfait toutefois pas aux exigences de motivation de l’art. 385 al. 1 CPP. En effet, d’une part, l’acte en question a été déposé auprès du Ministère public et, d’autre part, l’intéressé déclare vouloir faire « opposition » à « l’ordonnance pénale » (sic) du 16 janvier 2023. Aucune volonté de recourir auprès de l’autorité de recours ne peut ainsi se déduire de cet acte. De surcroît, Y.________ n’a donné aucune suite au courrier de la Présidente de la Chambre de céans lui demandant de clarifier ce point. L’acte déposé par Y.________ est dès lors irrecevable pour ce motif. A considérer que cet acte doive néanmoins être considéré comme un recours conformément à l’avis qui lui a été envoyé le 8 février 2023, il devrait de toute manière être rejeté pour les motifs qui suivent.</w:t>
      </w:r>
    </w:p>
    <w:p>
      <w:r>
        <w:rPr>
          <w:b/>
        </w:rPr>
        <w:t>E. 2</w:t>
      </w:r>
    </w:p>
    <w:p>
      <w:r>
        <w:t>Le recourant expose que, pour lui, l’audience du 16 janvier 2023 était concentrée sur la contravention à la LTV faisant l’objet de l’ordonnance pénale du 23 mai 2022 et que ce serait pour ce motif uniquement qu’il a retiré son opposition, mais non pour les faits, plus importants, qui concernent son épouse, dont il dit par ailleurs qu’elle va retirer sa plainte.</w:t>
      </w:r>
    </w:p>
    <w:p>
      <w:r>
        <w:rPr>
          <w:b/>
        </w:rPr>
        <w:t>E. 2.1</w:t>
      </w:r>
    </w:p>
    <w:p>
      <w:r>
        <w:t>Selon l'art. 386 al. 3 CPP, la renonciation à interjeter recours et le retrait du recours sont définitifs, sauf si la partie a été induite à faire sa déclaration par une tromperie, une infraction ou une information inexacte des autorités. Cette disposition est applicable par analogie au retrait d'opposition (TF 6B_83/2021 du 8 septembre 2021 consid. 2.2.2 et les</w:t>
      </w:r>
    </w:p>
    <w:p>
      <w:r>
        <w:t>- 5 - références citées ; TF 6B_619/2018 du 24 août 2018 consid. 2.1). La preuve des vices du consentement doit être apportée par celui qui s'en prévaut (ATF 141 IV 269 consid. 2.2.1 ; TF 6B_83/2021 précité consid. 2.2.2 ; TF 6B_619/2018 précité consid. 2.1).</w:t>
      </w:r>
    </w:p>
    <w:p>
      <w:r>
        <w:rPr>
          <w:b/>
        </w:rPr>
        <w:t>E. 2.2</w:t>
      </w:r>
    </w:p>
    <w:p>
      <w:r>
        <w:t>En l’espèce, Y.________ ne peut pas prétendre qu’il pensait que son audition du 16 janvier 2023 ne portait que sur la contravention à la LTV pour laquelle il a été condamné. En effet, il résulte du procès-verbal de dite audition qu’il a été entendu sur l’ensemble des infractions faisant l’objet de l’ordonnance pénale du 23 mai 2022, y compris celles concernant son épouse (cf. PV aud. 2, ll. 49 ss). Il s’ensuit que l’intéressé, qui a clairement déclaré retirer son opposition, n’a pas été induit à le faire par une tromperie, une infraction ou une information inexacte, ce qu’il ne soutient du reste pas, ni a fortiori ne démontre, comme il lui aurait incombé de le faire cas échéant.</w:t>
      </w:r>
    </w:p>
    <w:p>
      <w:r>
        <w:rPr>
          <w:b/>
        </w:rPr>
        <w:t>E. 3</w:t>
      </w:r>
    </w:p>
    <w:p>
      <w:r>
        <w:t>Au vu de ce qui précède, le recours doit être rejeté dans la mesure où il est recevable, sans échange d’écritures (art. 390 al. 2 CPP), et l’ordonnance du 16 janvier 2023 confirmée. Les frais de la procédure de recours, constitués du seul 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16 janvier 2023 est confirmée.</w:t>
      </w:r>
    </w:p>
    <w:p>
      <w:r>
        <w:t>- 6 - III. Les frais d’arrêt, par 550 fr. (cinq cent cinquante francs), sont mis à la charge de Y.________. IV. L’arrêt est exécutoire. La présidente : Le greffier : Du Le présent arrêt, dont la rédaction a été approuvée à huis clos, est notifié, par l'envoi d'une copie complète, à : - M. Y.________,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