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PE22.004806 vom 17. Mai 2022</w:t>
      </w:r>
    </w:p>
    <w:p>
      <w:r>
        <w:t>VD Tribunal cantonal, 2022-05-17, FR</w:t>
      </w:r>
    </w:p>
    <w:p>
      <w:r>
        <w:rPr>
          <w:b/>
        </w:rPr>
        <w:t xml:space="preserve">Quelle: </w:t>
      </w:r>
      <w:r>
        <w:t>https://mcp.opencaselaw.ch/entscheid/vd_gerichte_PE22.004806</w:t>
      </w:r>
    </w:p>
    <w:p>
      <w:r>
        <w:t>FR: VD_GERICHTE PE22.004806 du 17 mai 2022</w:t>
      </w:r>
    </w:p>
    <w:p>
      <w:r>
        <w:t>IT: VD_GERICHTE PE22.004806 del 17 maggio 2022</w:t>
      </w:r>
    </w:p>
    <w:p>
      <w:pPr>
        <w:pStyle w:val="Heading2"/>
      </w:pPr>
      <w:r>
        <w:t>Erwägungen</w:t>
      </w:r>
    </w:p>
    <w:p>
      <w:r>
        <w:rPr>
          <w:b/>
        </w:rPr>
        <w:t>E. 1</w:t>
      </w:r>
    </w:p>
    <w:p>
      <w:r>
        <w:t>Interjeté dans le délai légal (art. 396 al. 1 CPP [Code de procédure pénale suisse du 5 octobre 2007 ; RS 312.0]) contre une décision du Ministère public ordonnant la désignation d’un défenseur d’office (art. 393 al. 1 let. a CPP), par le prévenu qui a qualité pour recourir (art. 382 al. 1 CPP) et dans les formes prescrites (art. 385 al. 1 CPP), le recours est recevable.</w:t>
      </w:r>
    </w:p>
    <w:p>
      <w:r>
        <w:rPr>
          <w:b/>
        </w:rPr>
        <w:t>E. 2</w:t>
      </w:r>
    </w:p>
    <w:p>
      <w:r>
        <w:t>- 4 -</w:t>
      </w:r>
    </w:p>
    <w:p>
      <w:r>
        <w:rPr>
          <w:b/>
        </w:rPr>
        <w:t>E. 2.1</w:t>
      </w:r>
    </w:p>
    <w:p>
      <w:r>
        <w:t>; TF 1B_360/2020 du 4 septembre 2020 consid. 2.2 et l’arrêt cité). A cet égard,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précité ; TF 1B_360/2020 précité et l’arrêt cité ; TF 1B_9/2020 du 6 mai 2020 consid. 2.2). Le prévenu qui remplit a priori les conditions matérielles de l’art. 132 al. 1 let. b CPP doit solliciter la désignation d’un défenseur d’office gratuit, contrairement au prévenu qui se trouve dans un cas de défense obligatoire à qui la direction de la procédure doit nommer un avocat, même s’il ne le demande pas, voire s’y oppose (Harari/Jakob/Santamaria, in : Jeanneret et al. [éd.], Commentaire romand, Code de procédure pénale suisse, 2e éd., Bâle 2019, n. 58 ad art. 132 CPP).</w:t>
      </w:r>
    </w:p>
    <w:p>
      <w:r>
        <w:rPr>
          <w:b/>
        </w:rPr>
        <w:t>E. 2.2</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Selon l’art. 132 al. 1 CPP, en cas de défense obligatoire au sens de l’art. 130 CPP, la direction de la procédure ordonne une défense d’office si le prévenu, malgré l’invitation de la direction de la procédure, ne désigne pas de défenseur privé (let. a ch. 1), ou si le mandat est retiré au défenseur privé ou que celui-ci a décliné le mandat et que le prévenu n’a pas désigné un nouveau défenseur dans le délai imparti (let. a ch. 2). En dehors des cas de défense obligatoire, la direction de la procédure ordonne une défense d’office si le prévenu ne dispose pas des moyens nécessaires et que l’assistance d’un défenseur est justifiée pour sauvegarder ses intérêts (art. 132 al. 1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 amende (art. 132 al. 3 CPP). Pour évaluer si l’affaire présente des difficultés que le prévenu ne pourrait pas surmonter sans l’aide d’un avocat, il y a lieu d’apprécier l’ensemble des circonstances concrètes. La</w:t>
      </w:r>
    </w:p>
    <w:p>
      <w:r>
        <w:t>- 5 -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2020 consid.</w:t>
      </w:r>
    </w:p>
    <w:p>
      <w:r>
        <w:rPr>
          <w:b/>
        </w:rPr>
        <w:t>E. 2.3</w:t>
      </w:r>
    </w:p>
    <w:p>
      <w:r>
        <w:t>Le recourant fait valoir qu’il préfèrerait « s’occuper de [s]es lettres administratifs par [lui]-même ». La procureure considère pour sa part qu’il se trouverait dans un cas de défense obligatoire qui justifierait la désignation d’un avocat. Contrairement à ce que celle-ci retient, on ne trouve pas au dossier de sommations de la direction de la procédure au prévenu pour qu’il désigne un défenseur de choix. Peu importe, dès lors que l’indigence du recourant est établie dans le cas d’espèce et que celui- ci ne conteste pas l’identité du défenseur qui lui a été désigné, mais le principe même d’être assisté d’un avocat. Le recourant est prévenu d’escroquerie et de faux dans les titres, infractions toutes deux passibles d’une peine privative de liberté de cinq ans au plus, ainsi que de séjour illégal, infraction passible d’une peine</w:t>
      </w:r>
    </w:p>
    <w:p>
      <w:r>
        <w:t>- 6 - privative de liberté d’une durée maximale d’un an. Il a de nombreux antécédents, est déjà en train de purger une peine privative de liberté et se trouve en situation de récidive spéciale s’agissant du séjour illégal, de sorte qu’il est non seulement susceptible de devoir purger une peine de détention de plus d’un an, mais qu’une mesure d’expulsion risque d’être prononcée à son encontre. Les conditions d’une défense obligatoire au sens de l’art. 130 let. b CPP sont ainsi réalisées. Il y a par ailleurs lieu de relever que certaines déclarations du recourant laissent perplexes. Celui-ci a ainsi déclaré à la Procureure, au terme de son audition du 8 avril 2022 : « je vous explique que vos collègues ont mis une lentille-espion dans mon œil et un appareil d’écoute dans mon oreille » (PV aud. 1, l. 85-87). Il a également écrit, dans un courrier du 20 avril 2022 adressé au Ministère public de la Confédération (P. 12), qu’un autre objet avait été installé dans son oreille, faisant référence à des « traqueurs de corps ». Compte tenu de ce qui précède, la condition d’une défense obligatoire au sens de l’art. 130 let. c CPP paraît également réalisée, le recourant ne semblant pas en mesure de défendre suffisamment ses intérêts dans la présente procédure. C’est donc à juste titre que le Ministère public a considéré que le prévenu se trouvait dans un cas de défense obligatoire et qu’il a désigné un défenseur d’office au recourant, malgré le refus exprimé par celui-ci.</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en l’espèce du seul émolument d’arrêt (art. 422 al. 1 CPP),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II. L’ordonnance du 3 mai 2022 est confirmée. III. Les frais d’arrêt, par 660 fr. (six cent soixante francs), sont mis à la charge de F.________. IV. L’arrêt est exécutoire. Le vice-président : La greffière : Du Le présent arrêt, dont la rédaction a été approuvée à huis clos, est notifié, par l'envoi d'une copie complète, à : - M. F.________, - Me Marie-Pomme Moinat, avocate (pour F.________), - Ministère public central, et communiqué à :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