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PE22.004675 vom 19. August 2022</w:t>
      </w:r>
    </w:p>
    <w:p>
      <w:r>
        <w:t>VD Tribunal cantonal, 2022-08-19, FR</w:t>
      </w:r>
    </w:p>
    <w:p>
      <w:r>
        <w:rPr>
          <w:b/>
        </w:rPr>
        <w:t xml:space="preserve">Quelle: </w:t>
      </w:r>
      <w:r>
        <w:t>https://mcp.opencaselaw.ch/entscheid/vd_gerichte_PE22.004675</w:t>
      </w:r>
    </w:p>
    <w:p>
      <w:r>
        <w:t>FR: VD_GERICHTE PE22.004675 du 19 août 2022</w:t>
      </w:r>
    </w:p>
    <w:p>
      <w:r>
        <w:t>IT: VD_GERICHTE PE22.004675 del 19 agosto 2022</w:t>
      </w:r>
    </w:p>
    <w:p>
      <w:pPr>
        <w:pStyle w:val="Heading2"/>
      </w:pPr>
      <w:r>
        <w:t>Erwägungen</w:t>
      </w:r>
    </w:p>
    <w:p>
      <w:r>
        <w:rPr>
          <w:b/>
        </w:rPr>
        <w:t>E. 1</w:t>
      </w:r>
    </w:p>
    <w:p>
      <w:r>
        <w:t>CPP, qui interdit la prolongation des délais fixés par la loi et n’autorise pas la partie à compléter un acte dépourvu de motivation (TF 6B_609/2021 du 19 juillet 2021 consid. 2.4 ; TF 6B_510/2020 précité ; TF 1B_232/2017 du 19 juillet 2017 consid. 2.4.3 ; TF 1B_113/2017 du 19 juin 2017 consid. 2.4.3 ; TF 6B_120/2016 du 20 juin 2016 consid. 3.1).</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[ci-après : CR CPP], 2e éd., Bâle 2019, n. 5 ad art. 356 CPP ; CREP 15 juillet 2021/652 ; CREP 8 octobre 2019/817).</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Donatsch/Lieber/Summers/Wohlers (éd.), Zürcher Kommentar, Kommentar zur Schweizerischen Strafprozessordnung, 3e éd. 2020, n. 14 ad art. 396 StPO et les réf. cit. ;</w:t>
      </w:r>
    </w:p>
    <w:p>
      <w:r>
        <w:t>- 5 - Guidon, in Niggli/Heer/Wiprächtiger (éd.), Basler Kommentar, Schweizerische Strafprozessordnung, 2e éd. 2014, n. 9c ad art. 396 StPO et les réf. cit. ; Calame, in : CR CPP, op. cit., n. 21 ad art. 385 CPP).</w:t>
      </w:r>
    </w:p>
    <w:p>
      <w:r>
        <w:rPr>
          <w:b/>
        </w:rPr>
        <w:t>E. 1.2.2</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w:t>
      </w:r>
    </w:p>
    <w:p>
      <w:r>
        <w:rPr>
          <w:b/>
        </w:rPr>
        <w:t>E. 1.3</w:t>
      </w:r>
    </w:p>
    <w:p>
      <w:r>
        <w:t>En l’espèce, ni dans son recours du 13 juillet 2022, ni dans son courrier du « 30 juin 2022 » faisant suite à l’interpellation de la Présidente de la Chambre de céans du 20 juillet 2022, le recourant n’explique en quoi, selon lui, les motifs sur lesquels le Tribunal de police de l’arrondissement de l’Est vaudois a fondé sa décision – soit la tardiveté de l’opposition – seraient erronés ou en quoi ils devraient conduire à une décision différente. Son recours ne satisfait par conséquent pas aux exigences de l’art. 385 al. 1 CPP. Pour le surplus, un tel défaut de motivation ne saurait justifier qu’un délai supplémentaire soit fixé au recourant pour compléter son recours en application de l’art. 385 al. 2 CPP. S’agissant de la plainte du recourant contre [...], celle-ci a déjà fait l’objet d’une réponse du Ministère public par courrier du 5 juillet 2022,</w:t>
      </w:r>
    </w:p>
    <w:p>
      <w:r>
        <w:t>- 6 - de sorte qu’il n’y sera donné aucune suite dans le cadre de la présente procédure.</w:t>
      </w:r>
    </w:p>
    <w:p>
      <w:r>
        <w:rPr>
          <w:b/>
        </w:rPr>
        <w:t>E. 2</w:t>
      </w:r>
    </w:p>
    <w:p>
      <w:r>
        <w:t>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660 fr. (six cent soixante francs), sont mis à la charge de G.________. III. L’arrêt est exécutoire. La présidente : Le greffier :</w:t>
      </w:r>
    </w:p>
    <w:p>
      <w:r>
        <w:t>- 7 - Du Le présent arrêt, dont la rédaction a été approuvée à huis clos, est notifié, par l'envoi d'une copie complète, à : - M. G.________, - Ministère public central, et communiqué à : - Mme la Présidente du Tribunal de police de l’arrondissement de l’Est vaudois, - M. le Procureur de l’arrondissement de l’Est vaudois,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