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PE22.004528 vom 12. Januar 2023</w:t>
      </w:r>
    </w:p>
    <w:p>
      <w:r>
        <w:t>VD Tribunal cantonal, 2023-01-12, FR</w:t>
      </w:r>
    </w:p>
    <w:p>
      <w:r>
        <w:rPr>
          <w:b/>
        </w:rPr>
        <w:t xml:space="preserve">Quelle: </w:t>
      </w:r>
      <w:r>
        <w:t>https://mcp.opencaselaw.ch/entscheid/vd_gerichte_PE22.004528</w:t>
      </w:r>
    </w:p>
    <w:p>
      <w:r>
        <w:t>FR: VD_GERICHTE PE22.004528 du 12 janvier 2023</w:t>
      </w:r>
    </w:p>
    <w:p>
      <w:r>
        <w:t>IT: VD_GERICHTE PE22.004528 del 12 gennaio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la partie plaignante, qui a la qualité pour recourir (art. 382 al. 1 CPP). Au surplus, le recours satisfait aux conditions de forme prescrites (art. 385 al. 1 CPP). Il est donc recevable.</w:t>
      </w:r>
    </w:p>
    <w:p>
      <w:r>
        <w:rPr>
          <w:b/>
        </w:rPr>
        <w:t>E. 2.1</w:t>
      </w:r>
    </w:p>
    <w:p>
      <w:r>
        <w:t>Invoquant une violation du principe in dubio pro duriore, le recourant reproche à la procureure d’avoir retenu que le prévenu avait agi en état de légitime défense et que celle-ci était manifestement</w:t>
      </w:r>
    </w:p>
    <w:p>
      <w:r>
        <w:t>- 8 - proportionnée et de ne pas avoir ouvert une instruction pour tentative de meurtre, à tout le moins une fois le rapport du F.________ versé au dossier. Il lui reproche également d’avoir rejeté la réquisition présentée par courrier du 7 novembre 2022 tendant à l’audition du prévenu. Enfin, il fait grief à la procureure de n’avoir pas donné suite à sa demande de désignation de conseil juridique gratuit.</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w:t>
      </w:r>
    </w:p>
    <w:p>
      <w:r>
        <w:t>- 9 -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5 avril 2022/208 consid. 3.1.1 et les réf. citées ; CREP 5 mars 2021/234 consid. 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 TF 6B_1164/2020 du 10 juin 2021 consid. 2.2.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w:t>
      </w:r>
    </w:p>
    <w:p>
      <w:r>
        <w:t>- 10 - moyens de preuve (TF 6B_1164/2020 précité consid. 2.2 ; TF 6B_1239/2018 du 11 mars 2019 consid. 3.2.1 et les arrêts cités).</w:t>
      </w:r>
    </w:p>
    <w:p>
      <w:r>
        <w:rPr>
          <w:b/>
        </w:rPr>
        <w:t>E. 2.2.2</w:t>
      </w:r>
    </w:p>
    <w:p>
      <w:r>
        <w:t>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Les parties devraient pouvoir collaborer à l’établissement des questions ou, le cas échéant, avoir la faculté de poser des questions complémentaires. Dans tous les cas, le droit à une audition en contradictoire prévaut (ATF 124 I 274 consid. 5a ; Moreillon/Parein- Reymond, Petit commentaire CPP, 2e éd., Bâle 2016, n. 4 ad art. 145 CPP). Lorsque la personne concernée n’a pas expressément renoncé à son droit de participer à l’administration de la preuve, il convient de le lui garantir en lui permettant de s’exprimer et de poser des questions complémentaires à l’occasion d’une audition orale (Häring, in : Niggli/Heer/Wiprächtiger [éd.], Basler Kommentar, Schweizerische Strafprozessordnung, 2e éd., Bâle 2014, n. 11 ad art. 145 CPP ; Moreillon/Parein-Reymond, op. cit., n. 4 ad art. 145 CPP).</w:t>
      </w:r>
    </w:p>
    <w:p>
      <w:r>
        <w:rPr>
          <w:b/>
        </w:rPr>
        <w:t>E. 2.2.3</w:t>
      </w:r>
    </w:p>
    <w:p>
      <w:r>
        <w:t>Aux termes de l'art. 111 CP (Code pénal suisse du 21 décembre 1937 ; RS 311.0), celui qui aura intentionnellement tué une personne sera puni d'une peine privative de liberté de cinq ans au moins, en tant que les conditions prévues aux articles suivants ne sont pas réalisées. Il y a tentative au sens de l’art.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6B_418/2021 du 7 avril</w:t>
      </w:r>
    </w:p>
    <w:p>
      <w:r>
        <w:t>- 11 - 2022 consid. 3.2.2 ; TF 6B_1142/2020 du 12 mai 2021 consid. 3.1.3 ; TF 6B_366/2020 17 novembre 2020 consid. 3.1.3).</w:t>
      </w:r>
    </w:p>
    <w:p>
      <w:r>
        <w:rPr>
          <w:b/>
        </w:rPr>
        <w:t>E. 2.2.4</w:t>
      </w:r>
    </w:p>
    <w:p>
      <w:r>
        <w:t>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Elles se poursuivent d'office si le délinquant a fait usage du poison, d'une arme ou d'un objet dangereux (art. 123 ch. 2 al. 2 CP). L’art. 123 CP décrit une infraction de nature intentionnelle. Le dol éventuel est suffisant (ATF 119 IV 1 consid. 5a ; Corboz, Les infractions en droit suisse, vol. I, 3e éd., Berne 2010, n. 17 ad art. 123 CP).</w:t>
      </w:r>
    </w:p>
    <w:p>
      <w:r>
        <w:rPr>
          <w:b/>
        </w:rPr>
        <w:t>E. 2.2.5</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w:t>
      </w:r>
    </w:p>
    <w:p>
      <w:r>
        <w:t>- 12 - un comportement menaçant, se prépare au combat ou effectue des gestes qui donnent à le penser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(ATF 136 IV 49 consid. 3.2). Peut se prévaloir de la légitime défense, l'auteur qui agit avec conscience et volonté dans le dessein de détourner une attaque (ATF 104 IV 1 consid. a).</w:t>
      </w:r>
    </w:p>
    <w:p>
      <w:r>
        <w:rPr>
          <w:b/>
        </w:rPr>
        <w:t>E. 2.3</w:t>
      </w:r>
    </w:p>
    <w:p>
      <w:r>
        <w:t>En l’espèce, les circonstances de l’altercation ne sont pas si claires que l’a retenu le Ministère public. Faute de témoins, celui-ci a accordé plein crédit aux explications de G.________, au motif notamment que le plaignant était bien excité et alcoolisé au moment des faits. Or, cela ne suffit pas pour retenir comme véridique la version exposée par le prévenu selon laquelle il aurait utilisé le couteau contre son adversaire uniquement lorsqu’il se trouvait par terre et dans le seul but de faire des mouvements de pique principalement en direction du bas du corps de ce dernier en vue de se défendre et non pour le « planter » (PV aud. 2, R. 6, p. 4). En effet, lors de leur prise en charge par les médecins après les faits, le prévenu n’avait que des plaies superficielles, soit notamment des</w:t>
      </w:r>
    </w:p>
    <w:p>
      <w:r>
        <w:t>- 13 - dermabrasions et des ecchymoses (P. 8, p. 12), alors qu’A.________ présentait des « signes de plaies sur tout le corps », soit non seulement au niveau des jambes, mais aussi, notamment, à la joue droite, au thorax et au sternum, compatibles avec des « lésions provoquées par un objet tranchant (…) comme un couteau », « les zones anatomiques visées comport[a]nt des structures vitales qui auraient pu être touchées lors des coups de couteau » (P. 21, pp. 25 et 26 et photographies annexées [P. 21/1]). S’il est vrai que les déclarations du prévenu, si tant est qu’elles soient conformes à la réalité, peuvent expliquer les lésions sur les jambes du plaignant, elles n’apparaissent pas compatibles avec celles constatées sur le haut du corps. Une légitime défense de la part de G.________ semble, en pareilles circonstances, exclue, ce d’autant que selon le F.________, le plaignant présentait également une blessure à la main droite « évocatrice d’une lésion de défense » (P. 21, p. 25). Ces éléments, qui n’ont pas été discutés dans l’ordonnance attaquée alors qu’ils avaient été évoqués par le plaignant dans son courrier du 5 septembre 2022 à réception du rapport du F.________ le concernant (P. 22), laissent clairement penser que, même dans l’hypothèse où le prévenu aurait chuté au sol (version compatible avec les blessures constatées, selon le F.________ [P. 8, p. 12]) et utilisé à ce moment-là son couteau pour se défendre de l’attaque de son adversaire, alcoolisé et excité, il se serait ensuite relevé et aurait continué à user de son arme en direction de ce dernier, contrairement à ce qu’il prétend, ce qui plaide pour une inversion des postures des protagonistes, une fois le prévenu debout. Ainsi, les gestes reprochés à l’intimé apparaissent – du moins en partie – plutôt offensifs que défensifs et pourraient même excéder, notamment par le nombre de blessures subies par le recourant – bien au-delà des « deux ou trois » coups admis (PV aud. 2, R. 6, p. 4) –, ce qui pourrait résulter d’une réaction irréfléchie et excusable. Peu importe à cet égard que le recourant ait menti sur sa consommation de drogue et se soit montré peu collaborant, comme le fait valoir l’intimé dans ses déterminations (P. 28/1). D’ailleurs, interrogé sur l’origine des plaies présentes sur le thorax et le visage du plaignant après l’altercation, le prévenu lui-même n’a pas exclu en être l’auteur, se limitant à dire « je n’ai pas voulu viser son visage » (ibidem ; cf. ég. PV aud. 3, lignes 34 ss). De surcroît, dès lors que les faits ne sont, comme on</w:t>
      </w:r>
    </w:p>
    <w:p>
      <w:r>
        <w:t>- 14 - l’a vu, pas clairement établis, le Ministère public ne pouvait pas, en se basant uniquement sur les déclarations de G.________, considérer que celui-ci avait agi par légitime défense. Il appartient au juge du fond d’examiner cette question. Les éléments qui précèdent constituent donc des indices de commission de l’infraction de lésions corporelles simples qualifiées au sens de l’art. 123 ch. 2 al. 2 CP pour laquelle la condamnation de G.________ ne saurait, en l’état, être exclue, faute pour celui-ci d’avoir agi par légitime défense. Au vu de ce qui précède, au regard du principe « in dubio pro duriore », s’agissant de faits graves commis « entre quatre yeux », on ne saurait retenir qu’un acquittement paraît notablement plus vraisemblable qu’une condamnation. Il appartiendra au Ministère public d’interroger les protagonistes en contradictoire (cf. consid. 2.2.2 supra). Si les parties devaient maintenir leur version des faits et sauf élément nouveau permettant clairement de disculper le prévenu, un renvoi de celui-ci devant une autorité de jugement devra ensuite être envisagé, étant relevé qu’au vu des constats du F.________ (P. 21), les faits dénoncés devront également être examinés sous l’angle de la tentative de meurtre, comme le requiert à juste titre le recourant.</w:t>
      </w:r>
    </w:p>
    <w:p>
      <w:r>
        <w:rPr>
          <w:b/>
        </w:rPr>
        <w:t>E. 3.1</w:t>
      </w:r>
    </w:p>
    <w:p>
      <w:r>
        <w:t>Le recourant reproche finalement à la procureure de n’avoir jamais statué sur sa demande d’assistance judiciaire.</w:t>
      </w:r>
    </w:p>
    <w:p>
      <w:r>
        <w:rPr>
          <w:b/>
        </w:rPr>
        <w:t>E. 3.2</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w:t>
      </w:r>
    </w:p>
    <w:p>
      <w:r>
        <w:t>- 15 - 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(Harari/Aliberti, in : Kuhn et alii [éd.], op. cit., n. 30 ad art. 136 CPP, avec renvoi aux nn. 33-35 ad art. 132 CPP). Est considéré comme indigent celui qui ne peut assurer les frais liés à la défense de ses intérêts sans porter atteinte au minimum nécessaire à son entretien ainsi qu’à celui de sa famille (ATF 128 I 225 consid. 2.5.1; ATF 125 IV 161 consid. 4a, JdT 2011 IV 93). L’indigence s’apprécie selon la situation économique du requérant au moment du dépôt de la requête. Il faut tenir compte des obligations financières de ce dernier, de ses revenus et de sa fortune (Moreillon/Parein-Reymond, op. cit., n. 3 ad art. 136 CPP). Le soutien de la collectivité publique n’est en principe pas dû lorsque la part disponible permet d’amortir les frais d’un procès en une année pour les procès relativement simples, et en deux ans pour les autres (ATF 135 I 221 consid. 5.1).</w:t>
      </w:r>
    </w:p>
    <w:p>
      <w:r>
        <w:rPr>
          <w:b/>
        </w:rPr>
        <w:t>E. 3.3</w:t>
      </w:r>
    </w:p>
    <w:p>
      <w:r>
        <w:t>En l’occurrence, A.________ a requis l’assistance judiciaire par courrier du 3 juin 2022 (P. 13). La procureure a rejeté cette requête sans rendre de décision formelle. Compte tenu de la nature et de la gravité des infractions en cause et de l’indigence manifeste du plaignant (cf. P. 26/1.3), il peut être admis que les conditions de l’art. 136 CPP sont réalisées. Il s’ensuit que la procureure aurait dû accorder l’assistance judiciaire gratuite à A.________ et désigner Me Coralie Devaud en tant que conseil juridique gratuit, dès le 3 juin 2022. Il y a là un déni de justice qui implique que le recours doive également être admis sur ce point.</w:t>
      </w:r>
    </w:p>
    <w:p>
      <w:r>
        <w:rPr>
          <w:b/>
        </w:rPr>
        <w:t>E. 4.1</w:t>
      </w:r>
    </w:p>
    <w:p>
      <w:r>
        <w:t>Il résulte de ce qui précède que le recours doit être admis et l’ordonnance de classement annulée, le dossier de la cause étant envoyé au Ministère public de l’arrondissement du Nord vaudois pour qu’il procède dans le sens des considérants. Il appartiendra également à la</w:t>
      </w:r>
    </w:p>
    <w:p>
      <w:r>
        <w:t>- 16 - procureure, en temps voulu, d’indemniser Me Coralie Devaud pour la procédure de première instance.</w:t>
      </w:r>
    </w:p>
    <w:p>
      <w:r>
        <w:rPr>
          <w:b/>
        </w:rPr>
        <w:t>E. 4.2</w:t>
      </w:r>
    </w:p>
    <w:p>
      <w:r>
        <w:t>Le recourant a également sollicité l’octroi de l’assistance judiciaire pour la procédure de recours et la désignation de Me Coralie Devaud en qualité de conseil juridique gratuit. Cette requête doit être admise. L’indemnité allouée pour la procédure de recours à Me Devaud sera fixée en tenant compte d’une activité nécessaire d’avocat estimée à</w:t>
      </w:r>
    </w:p>
    <w:p>
      <w:r>
        <w:rPr>
          <w:b/>
        </w:rPr>
        <w:t>E. 4.3</w:t>
      </w:r>
    </w:p>
    <w:p>
      <w:r>
        <w:t>Me Marlène Bérard, défenseur d’office de G.________, a produit une liste d’opérations faisant état de 5h20 consacrées aux opérations du 23 décembre 2022 (P. 28/2). Le temps indiqué pour la « prise de connaissance du dossier – nouvelles pièces », par 1h30, sera réduit à 30 minutes, qui sont suffisantes pour la prise de connaissance du recours. Le temps comptabilisé (3h30) pour la rédaction des déterminations (P. 28/1) est également excessif et sera réduit à 2 heures, au vu du mémoire produit. Enfin, la rédaction du courrier à la Chambre de céans, par 20 minutes, relève du travail de secrétariat, non indemnisable, s’agissant d’une lettre d’accompagnement. C’est donc une durée d’activité nécessaire totale de 2h30 qui sera indemnisée au tarif horaire de 180 fr., correspondant à 450 fr., auxquels s'ajoutent 2% de débours forfaitaires, par 9 fr., et la TVA à 7,7%, par 35 fr. 35, ce qui donne 495 fr. au total en chiffres arrondis.</w:t>
      </w:r>
    </w:p>
    <w:p>
      <w:r>
        <w:rPr>
          <w:b/>
        </w:rPr>
        <w:t>E. 4.4</w:t>
      </w:r>
    </w:p>
    <w:p>
      <w:r>
        <w:t>Les frais de la procédure de recours, constitués de l’émolument d’arrêt, par 1'650 fr. (art. 20 al. 1 TFIP), ainsi que des frais</w:t>
      </w:r>
    </w:p>
    <w:p>
      <w:r>
        <w:t>- 17 - imputables à l’assistance judiciaire gratuite d’A.________, par 989 fr., et à la défense d’office de G.________, par 495 fr. (art. 422 al. 1 et 2 let. a CPP), seront laissés à la charge de l’Etat (art. 428 al. 4 CPP). Par ces motifs, la Chambre des recours pénale prononce : I. Le recours est admis. II. L’ordonnance du 15 novembre 2022 est annulée. III. Le dossier de la cause est renvoyé au Ministère public de l’arrondissement du Nord vaudois pour qu’il procède dans le sens des considérants. IV. L’assistance judiciaire gratuite est accordée à A.________ et Me Coralie Devaud est désignée comme conseil juridique gratuit d’A.________ dès le 3 juin 2022. V. L’indemnité allouée au conseil juridique gratuit d’A.________ pour la procédure de recours est fixée à 989 fr. (neuf cent huitante-neuf francs). VI. L’’indemnité allouée au défenseur d’office de G.________ pour la procédure de recours est fixée à 495 fr. (quatre cent nonante-cinq francs). VII. Les frais d’arrêt, par 1'650 fr. (mille six cent cinquante francs), ainsi que l’indemnité due au conseil juridique gratuit d’A.________, par 989 fr. (neuf cent huitante-neuf francs), et l’indemnité due au défenseur d’office de G.________, par 495 fr. (quatre cent nonante-cinq francs), sont laissés à la charge de l’Etat. VIII. L’arrêt est exécutoire. La présidente : Le greffier :</w:t>
      </w:r>
    </w:p>
    <w:p>
      <w:r>
        <w:t>- 18 - Du Le présent arrêt, dont la rédaction a été approuvée à huis clos, est notifié, par l'envoi d'une copie complète, à : - Me Coralie Devaud, avocate (pour A.________), - Me Marlène Bérard, avocate (pour G.________),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soit à 900 fr., auxquels s'ajoutent des débours forfaitaires à concurrence de 2 % (art. 2 al. 1 let. a et 3bis RAJ, applicables par renvoi de l'art. 26b TFIP), par 18 fr., et la TVA sur le tout à 7,7%, par 70 fr. 70, soit à 989 fr. au total en chiffres arrondis.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