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PE22.004477 vom 11. Mai 2022</w:t>
      </w:r>
    </w:p>
    <w:p>
      <w:r>
        <w:t>VD Tribunal cantonal, 2022-05-11, FR</w:t>
      </w:r>
    </w:p>
    <w:p>
      <w:r>
        <w:rPr>
          <w:b/>
        </w:rPr>
        <w:t xml:space="preserve">Quelle: </w:t>
      </w:r>
      <w:r>
        <w:t>https://mcp.opencaselaw.ch/entscheid/vd_gerichte_PE22.004477</w:t>
      </w:r>
    </w:p>
    <w:p>
      <w:r>
        <w:t>FR: VD_GERICHTE PE22.004477 du 11 mai 2022</w:t>
      </w:r>
    </w:p>
    <w:p>
      <w:r>
        <w:t>IT: VD_GERICHTE PE22.004477 del 11 maggio 2022</w:t>
      </w:r>
    </w:p>
    <w:p>
      <w:pPr>
        <w:pStyle w:val="Heading2"/>
      </w:pPr>
      <w:r>
        <w:t>Erwägungen</w:t>
      </w:r>
    </w:p>
    <w:p>
      <w:r>
        <w:rPr>
          <w:b/>
        </w:rPr>
        <w:t>E. 5</w:t>
      </w:r>
    </w:p>
    <w:p>
      <w:r>
        <w:t>Au vu de ce qui précède, le recours, manifestement mal fondé, doit être rejeté sans échange d’écritures (art. 390 al. 2 CPP) et l’ordonnance du 18 mars 2022 confirmée. Les frais de la procédure de recours, constitués en l’espèce du seul émolument d’arrêt, par 1’100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18 mars 2022 est confirmée. III. Les frais d’arrêt, par 1'100 fr. (mille cent francs), sont mis à la charge de M.________. IV. L’arrêt est exécutoire. La présidente : Le greffier :</w:t>
      </w:r>
    </w:p>
    <w:p>
      <w:r>
        <w:t>- 12 - Du Le présent arrêt, dont la rédaction a été approuvée à huis clos, est notifié, par l'envoi d'une copie complète, à : - Me M.________, avocat,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