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PE22.004397 vom 6. Dezember 2022</w:t>
      </w:r>
    </w:p>
    <w:p>
      <w:r>
        <w:t>VD Tribunal cantonal, 2022-12-06, FR</w:t>
      </w:r>
    </w:p>
    <w:p>
      <w:r>
        <w:rPr>
          <w:b/>
        </w:rPr>
        <w:t xml:space="preserve">Quelle: </w:t>
      </w:r>
      <w:r>
        <w:t>https://mcp.opencaselaw.ch/entscheid/vd_gerichte_PE22.004397</w:t>
      </w:r>
    </w:p>
    <w:p>
      <w:r>
        <w:t>FR: VD_GERICHTE PE22.004397 du 6 décembre 2022</w:t>
      </w:r>
    </w:p>
    <w:p>
      <w:r>
        <w:t>IT: VD_GERICHTE PE22.004397 del 6 dicembre 2022</w:t>
      </w:r>
    </w:p>
    <w:p>
      <w:pPr>
        <w:pStyle w:val="Heading2"/>
      </w:pPr>
      <w:r>
        <w:t>Erwägungen</w:t>
      </w:r>
    </w:p>
    <w:p>
      <w:r>
        <w:rPr>
          <w:b/>
        </w:rPr>
        <w:t>E. 23</w:t>
      </w:r>
    </w:p>
    <w:p>
      <w:r>
        <w:t>avril 2018, écrit qu’elle a qualifié, lors de son audition du 15 novembre 2018 (P. 11/2, annexe 3), comme un « journal intime » qu’elle avait rédigé alors qu’elle se trouvait sous le coup de l’émotion, et qu’elle n’imaginait</w:t>
      </w:r>
    </w:p>
    <w:p>
      <w:r>
        <w:t>- 7 - pas que ce document serait adressé à un procureur. On ne saurait ainsi retenir une constatation inexacte des faits. 3. 3.1 Le recourant se plaint d’une violation du principe in dubio pro duriore. Il soutient qu’au vu des « déclarations mensongères » de Q.________, celle-ci devrait être condamnée pour diffamation, dénonciation calomnieuse « et toutes autres infractions à qualifier ». A ce titre, il se prévaut d’une violation des art. 173 ch. 1 et 303 ch. 1 CP. 3.2 3.2.1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w:t>
      </w:r>
    </w:p>
    <w:p>
      <w:r>
        <w:t>- 8 -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3.2.2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diffamation est une infraction intentionnelle (Corboz, Les infractions en droit suisse, 3e éd., vol. I, Berne 2010, n. 48 ad art. 173 CP et n. 11 ad art. 174 CP). 3.2.3 L’art. 303 ch. 1 al. 1 CP sanctionne d’une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w:t>
      </w:r>
    </w:p>
    <w:p>
      <w:r>
        <w:t>- 9 -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(ATF 136 IV 170 consid. 2.1, JdT 2011 IV 102 ; TF 6B_1132/2021 du 8 juin 2022 consid. 2.2. ; TF 6B_1188/2017 du 5 juin 2018 consid. 2.2.1). L’élément constitutif subjectif de l’infraction implique que l’auteur sache que la personne qu’il dénonce est innocente. Il s’agit d’une connaissance au sens strict. Le dol éventuel ne suffit pas (ATF 136 IV 170 précité ; TF 6B_1132/2021 précité). Le dol éventuel suffit en revanche quant à l’intention de faire ouvrir une poursuite pénale (ATF 80 IV 117 ; TF 6B_1132/2021 précité ; TF 6B_1289/2018 du 20 février 2019 consid. 1.3.1). 3.3 En l’espèce, le recourant reproche principalement au procureur d’avoir retenu dans l’ordonnance entreprise que : « Q.________ [paraissait] uniquement avoir répété auprès de la Commission de déontologie ce qu’elle avait dit au cours de l’enquête pénale, en faisant preuve de bonne foi ». Or, force est de constater que l’appréciation opérée par le procureur a été partagée par le recourant lui-même. En effet, il a lui- même déclaré sous la plume de son conseil, ceci : « Plus les mois passent,</w:t>
      </w:r>
    </w:p>
    <w:p>
      <w:r>
        <w:t>- 10 - plus le B.________ est convaincu que la patiente n’est pas de mauvaise foi mais que son état psychique et son extrême angoisse ont fait que sa perception de la réalité est altérée. A ces éléments préexistants s’est ajouté le malaise (a posteriori compréhensible) de se retrouver avec le haut du corps dénudé face à un médecin qu’elle ne connaissait absolument pas et qui a dû examiner son thorax. Cet événement a très probablement achevé de la déstabiliser et lui a donné le sentiment subjectif qu’elle était en danger et que les gestes du médecin (qui n’a pourtant jamais touché ou effleuré ses parties génitales ou ses seins) avaient une connotation sexuelle. On relève encore que la patiente, lorsque le procureur lui a finalement demandé si le médecin était en érection ou pas, a répondu qu’elle ne savait pas » (P. 4/1, lettre du 30 septembre 2021, pp. 9 et 10 ; cf. supra let. A/f). Dans ces circonstances, on ne saurait retenir que la prévenue pouvait se rendre coupable de diffamation en répétant devant la Commission de déontologie la version des faits qu’elle a tenu dans le cadre de la procédure pénale, dès lors que d’une part l’ordonnance de classement retient que des attouchements ont eu lieu, et d’autre part que sa bonne foi est établie s’agissant de son ressenti. L’infraction de dénonciation calomnieuse ne saurait pas non plus entrer en ligne de compte, dès lors que l’ordonnance de classement retient que des gestes inappropriés ont été accomplis, de sorte que Q.________ n’a pas voulu accuser un innocent et qu’elle a fait part de son ressenti s’agissant de ce qu’elle a vécu comme une tentative de viol. S’agissant de l’infraction de contrainte (art. 181 CP) en lien avec l’administration du spray nasal, le recourant ne développe aucun moyen si ce n’est qu’il affirme que le fait que le Ministère public n’ait pas produit les résultats des analyses des flacons saisis démontrerait que l’instruction aurait été menée à charge. Or, dans son ordonnance de classement, le procureur a retenu que le spray en question était de l’[...], de sorte que le fait que les analyses effectuées ne soient pas au dossier n’est pas déterminant.</w:t>
      </w:r>
    </w:p>
    <w:p>
      <w:r>
        <w:t>- 11 - Au vu de ce qui précède, c’est à juste titre que le Ministère a refusé d’entrer en matière sur la plainte déposée par B.________. 4. En définitive, le recours, manifestement mal fondé, doit être rejeté sans échange d’écritures (art. 390 al. 2 CPP) et l’ordonnance attaquée confirmée. Vu le sort du recours, les frais de la procédure, constitués en l’espèce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juin 2022 est confirmée. III. Les frais d’arrêt, par 1’100 fr. (mille cent francs), sont mis à la charge de B.________. IV. L’arrêt est exécutoire. La présidente : La greffière :</w:t>
      </w:r>
    </w:p>
    <w:p>
      <w:r>
        <w:t>- 12 - Du Le présent arrêt, dont la rédaction a été approuvée à huis clos, est notifié, par l’envoi d’une copie complète, à : - Me Sébastien Desfayes, avocat (pour B.________),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